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49" w:rsidRPr="00EB40EB" w:rsidRDefault="00985B49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(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TBT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/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)</w:t>
      </w:r>
    </w:p>
    <w:p w:rsidR="00985B49" w:rsidRPr="00EB40EB" w:rsidRDefault="00985B49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ประจำวันที่ </w:t>
      </w:r>
      <w:r w:rsidRPr="0082167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1 - 30 มิถุนายน 2566</w:t>
      </w:r>
    </w:p>
    <w:p w:rsidR="00985B49" w:rsidRPr="00EB40EB" w:rsidRDefault="00985B49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084"/>
        <w:gridCol w:w="1735"/>
        <w:gridCol w:w="4820"/>
        <w:gridCol w:w="1666"/>
        <w:gridCol w:w="1701"/>
        <w:gridCol w:w="1701"/>
      </w:tblGrid>
      <w:tr w:rsidR="00985B49" w:rsidRPr="00EB40EB" w:rsidTr="00985B49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985B49" w:rsidRPr="00EB40EB" w:rsidRDefault="00985B49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สินค้า/</w:t>
            </w:r>
          </w:p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5B49" w:rsidRPr="00EB40EB" w:rsidRDefault="00985B49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วันสุดท้ายที่แสดงความเห็น/คัดค้าน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กลุ่มประเทศอ่าวอาหรับ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G/TBT/N/ARE/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665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G/TBT/N/KWT/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634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G/TBT/N/OMN/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495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G/TBT/N/QAT/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G/TBT/N/SAU/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1288</w:t>
            </w:r>
          </w:p>
          <w:p w:rsidR="00985B49" w:rsidRDefault="00985B4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G/TBT/N/YEM/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252</w:t>
            </w:r>
          </w:p>
          <w:p w:rsidR="00985B49" w:rsidRPr="00EB40EB" w:rsidRDefault="00985B49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</w:tc>
        <w:tc>
          <w:tcPr>
            <w:tcW w:w="1735" w:type="dxa"/>
          </w:tcPr>
          <w:p w:rsidR="00985B49" w:rsidRPr="00EB40EB" w:rsidRDefault="00985B49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985B49" w:rsidRDefault="00985B49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จัดทำกฎระเบียบทางเทคนิคเกี่ยวกับข้อกำหนดทั่วไปของน้ำที่จำเป็นสำหรับการบริโภคของมนุษย์</w:t>
            </w:r>
          </w:p>
          <w:p w:rsidR="00985B49" w:rsidRPr="00EB40EB" w:rsidRDefault="00985B49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TBT/BHR/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10178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กลุ่มประเทศอ่าวอาหรับ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G/TBT/N/ARE/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576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666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G/TBT/N/KWT/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635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G/TBT/N/OMN/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496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G/TBT/N/QAT/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646</w:t>
            </w:r>
          </w:p>
          <w:p w:rsidR="00985B49" w:rsidRPr="0082167F" w:rsidRDefault="00985B49" w:rsidP="00D32A77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G/TBT/N/SAU/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1289</w:t>
            </w:r>
          </w:p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G/TBT/N/YEM/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253</w:t>
            </w:r>
          </w:p>
          <w:p w:rsidR="00985B49" w:rsidRPr="00EB40EB" w:rsidRDefault="00985B49" w:rsidP="00FB099F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ซอสพริก</w:t>
            </w:r>
          </w:p>
        </w:tc>
        <w:tc>
          <w:tcPr>
            <w:tcW w:w="4820" w:type="dxa"/>
          </w:tcPr>
          <w:p w:rsidR="00985B49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จัดทำกฎระเบียบทางเทคนิคใช้กับซอสพริก ตามที่กำหนดไว้ในข้อ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และเพื่อการบริโภคโดยตรง รวมถึงเพื่อวัตถุประสงค์ในการจัดเลี้ยงหรือสำหรับการบรรจุใหม่หากจำเป็น ใช้ไม่ได้กับผลิตภัณฑ์เมื่อระบุว่ามีไว้สำหรับแปรรูปต่อ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TBT/QAT/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10246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เดือนหลังจากบังคับใช้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369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1449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881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983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1786</w:t>
            </w:r>
          </w:p>
          <w:p w:rsidR="00985B49" w:rsidRPr="00EB40EB" w:rsidRDefault="00985B49" w:rsidP="00FB099F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บิสกิต</w:t>
            </w:r>
          </w:p>
        </w:tc>
        <w:tc>
          <w:tcPr>
            <w:tcW w:w="4820" w:type="dxa"/>
          </w:tcPr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จัดทำมาตรฐานแอฟริกันตะวันออก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781:2023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เรื่องมาตรฐานของบิสกิต ระบุถึงข้อกำหนด วิธีการสุ่มตัวอย่างและทดสอบของบิสกิตทีผลิตเพื่อการบริโภคของมนุษย์ และรวมถึงเวเฟอร์และคุ๊กกี้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10296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370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1450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882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984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1787</w:t>
            </w:r>
          </w:p>
          <w:p w:rsidR="00985B49" w:rsidRPr="00442214" w:rsidRDefault="00985B49" w:rsidP="00FB099F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ธัญพืชอาหาร</w:t>
            </w:r>
          </w:p>
        </w:tc>
        <w:tc>
          <w:tcPr>
            <w:tcW w:w="4820" w:type="dxa"/>
          </w:tcPr>
          <w:p w:rsidR="00985B49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1160:2023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ธัญพืชอาหาร ระบุข้อกำหนด การสุ่มตัวอย่าง และวิธีการทดสอบสำหรับธัญพืชอาหารเช้าสำหรับการบริโภค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371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1451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883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1788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ผลิตภัณฑ์พาสต้า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จัดทำมาตรฐานแอฟริกันตะวันออก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173:2023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เรื่องมาตรฐานของผลิตภัณฑ์พาสต้า ระบุถึงข้อกำหนด วิธีการสุ่มตัวอย่างและทดสอบของผลิตภัณฑ์พาสต้าที่ผลิตจากแป้งข้าวสาลี และแป้งอื่นๆ ที่ผลิตเพื่อการบริโภคของมนุษย์ โดยมาตรฐานนี้จะมีผลต่อผลิตภัณฑ์พาสต้า เช่น เส้นมักกะโรนี เส้นสปาเกตตี วุ้นเส้น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Vermicelli)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เส้นหมี่ เส้นพาสต้าเส้นตัดสั้น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short-cut pasta)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เส้นลาซัญญา รวมถึงผลิตภัณฑ์อื่นๆ ที่ใกล้เคียงกัน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10306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372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1452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884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986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1789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1161:2023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ถั่วปรุงสุกบรรจุถุง ระบุข้อกำหนด การสุ่มตัวอย่าง และวิธีการทดสอบสำหรับถั่วปรุงสุกบรรจุห่อที่ได้จาก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Phaseolus spp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หลายสายพันธุ์สำหรับการบริโภค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10311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373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1453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987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1790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ผลิตภัณฑ์ข้าวโพดบด (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Milled Maize (Corn) Products)</w:t>
            </w:r>
          </w:p>
        </w:tc>
        <w:tc>
          <w:tcPr>
            <w:tcW w:w="4820" w:type="dxa"/>
          </w:tcPr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จัดทำมาตรฐานแอฟริกันตะวันออก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 44:2023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เรื่องมาตรฐานของผลิตภัณฑ์ข้าวโพดบด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Milled Maize (Corn) Products)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 วิธีการสุ่มตัวอย่างและทดสอบของผลิตภัณฑ์ดังกล่าว เช่น แป้งข้าวโพด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whole maize meal)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โดยมาตรฐานฉบับนี้จะไม่มีผลต่อผลิตภัณฑ์ข้าวโพดที่ผ่านการเติมธาตุอาหาร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fortified milled maize (corn) products)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และแป้งที่ใช้ในอุตสาหกรรม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10316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1455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887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989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1792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น้ำผึ้งปรุงแต่งกลิ่น (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Flavoured honey)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จัดทำร่างมาตรฐานแอฟริกันตะวันออก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1147: 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เรื่องข้อกำหนดเฉพาะของน้ำผึ้งปรุงแต่งกลิ่น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Flavoured honey)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 วิธีการสุ่มและทดสอบตามมาตรฐานของผลิตภัณฑ์ดังกล่าวเพื่อการบริโภคของมนุษย์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10514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376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1456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888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990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1793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น้ำผึ้งสำหรับอุตสาหกรรม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จัดทำร่างมาตรฐานแอฟริกันตะวันออก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1149: 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เรื่องข้อกำหนดเฉพาะของน้ำผึ้งสำหรับอุตสาหกรรม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ระบุถึงข้อกำหนด วิธีการสุ่มและทดสอบตามมาตรฐานของผลิตภัณฑ์ดังกล่าวที่ไม่ได้ใช้เพื่อการบริโภคโดยตรง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10519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22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G/TBT/N/KOR/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1148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ด้านฉลากอาหารเพื่ออุญาตให้สามาถแสดงข้อมูลฉลากอาหารในรูปแบบบาร์โคตหริือแสดงผ่านระบบอิเล็กทรอนิกส์ได้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TBT/KOR/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10066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G/TBT/N/CAN/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699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ผลิตภัณฑ์ผลไม้หรือผักแปรรูป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จัดทำข้อกำหนดเกรดนำเข้าผลิตภัณฑ์ผักและผลไม้แปรรูปบางชนิด ซึ่งมีการแก้ไขตารางชื่อเกรดนำเข้าสำหรับอาหารนำเข้าสำหรับรายการที่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34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ผลิตภัณฑ์ผลไม้หรือผักแปรรูปในบรรจุภัณฑ์ที่ปิดสนิท 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https://inspection.canada.ca/a-propos-de-l-acia/lois-et-reglements/liste-des-lois-et-reglements/documents-incorpores-par-renvoi/recueil-des-normes-canadiennes-de-classification-v/fra/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1520647701525/1520647702274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?chap=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มิ.ย. 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จอร์เจีย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G/TBT/N/GEO/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125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เนื้อแกะ แพะ สุกร และสัตว์ปีก ทั้งแบบแช่เย็นและแช่แข็ง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ประกาศระงับการใช้กฎระเบียบว่าด้วยข้อกำหนดแหล่งที่มาของเนื้อแกะ แพะ สุกร และสัตว์ปีก ทั้งแบบแช่เย็นและแช่แข็ง จนถึงวันที่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68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66 - 1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จาเมกา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G/TBT/N/JAM/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116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จัดทำมาตรฐานข้อกำหนดสำหรับเกรดข้าวเปลือก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ข้าวกล้อง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ข้าวสี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ข้าวกล้องนึ่ง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และข้าวนึ่งสี ระบุเงื่อนไขทั่วไปในการสุ่มตัวอย่างและวิธีการประเมินปัจจัยต่าง ๆ ที่ใช้ในการกำหนดคุณภาพข้าว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TBT/JAM/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10110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G/TBT/N/TPKM/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513/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"ข้อจำกัดการใช้และข้อกำหนดในการติดฉลากขผลิตภัณฑ์อาหารที่มีการใช้สาร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2′-fucosyllactose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ที่ผลิตจากแบคทีเรียผ่านการปรับปรุงพันธุกรรม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Escherichia coli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K-12 MG1655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INB000846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https://members.wto.org/crnattachments/2023/TBT/TPKM/final_measure/23_10103_00_e.pdf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G/TBT/N/TPKM/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526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เห็ด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Morchella esculenta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จัดทำร่างกฎระเบียบว่าด้วยข้อกำหนดการจำกัดการใช้และข้อกำหนดการติดฉลากผงเส้นใยเห็ด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liquid mycelia culture powder)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ของเห็ด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Morchella esculenta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เป็นอาหาร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TBT/TPKM/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10104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G/TBT/N/TPKM/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514/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โปรตีนไข่ขาว (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Hen Egg White Lysozyme Hydrolysate)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ประกาศบังคับใช้ข้อกำหนดด้านการจำกัดการใช้และการติดฉลากโปรตีนไข่ขาว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Hen Egg White Lysozyme Hydrolysate)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TBT/TPKM/final_measure/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10175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TBT/TPKM/final_measure/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10175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G/TBT/N/TPKM/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516/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ประกาศบังคับใช้กฎระเบียบข้อกำหนดการจำกัดการใช้และการติดฉลากเมื่อใช้สารสกัดจากเมล็ดบล็อกโคลี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Brassica oleracea var. italica)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เป็นส่วนประกอบในอาหาร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TBT/TPKM/final_measure/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10176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G/TBT/N/THA/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704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ผลิตภัณฑ์เสริมอาหาร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วิตามินหรือแร่ธาตุอาหาร 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Draft Ministry of Public Health (MOPH) Notification, No. … B.E. …. (....) issued by virtue of the Food Act B.E.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2522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entitled "Food supplement (No.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5)" ประเทศคู่ค้า   ร่างประกาศกระทรวงสาธารณสุข (สธ.) เรื่อง ผลิตภัณฑ์เสริมอาหาร ฉบับที่ 5 สาระสำคัญ 1) แก้ไขข้อ 5 ของประกาศ สธ. ฉบับที่ 293 พ.ศ. 2548 เรื่อง ผลิตภัณฑ์เสริม โดยใช้ข้อความนี้แทน "(5) มีชนิดและปริมาณสูงสุดของวิตามินหรือแร่ธาตุตามที่กำหนดไว้ในบัญชีแนบท้ายประกาศนี้ ทั้งนี้ปริมาณต่ำสุดต้องไม่น้อยกว่าร้อยละสิบห้าของค่าอ้างอิงสารอาหารต่อวันสำหรับคนไทย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THAI REFERENCE DAILY INTAKES-THAI RDIs)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ตามประกาศกระทรวงสาธารณสุขว่าด้วยฉลากโภชนาการ สำหรับผลิตภัณฑ์ เสริมอาหารที่มีวัตถุประสงค์เพื่อให้วิตามินหรือแร่ธาตุ "                                                                                                                                                         2) ผลิตภัณฑ์เสริมอาหารที่มีวิตามินและแร่ธาตุที่ได้รับ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อนุญาตตามประกาศ สธ. (ฉบับที่ 293) พ.ศ.2548 เรื่อง ผลิตภัณฑ์เสริมอาหารอยู่ก่อน ประกาศนี้ใช้บังคับ ยังคงจำหน่ายต่อไปได้ทั้งนี้ต้องไม่เกิน 3 ปี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TBT/THA/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10430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19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G/TBT/N/NIC/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สถานแปรรูปผลิตภัณฑ์นม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จัดทำร่างมาตรฐานว่าด้วยเรื่องการควบคุมผลกระทบทางสิ่งแวดล้อมจากสถานแปรรูปผลิตภัณฑ์นม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TBT/NIC/modification/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G/TBT/N/NIC/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สารกำจัดศัตรูพืชที่ผลิตจากพืชและจุลินทีย์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จัดทำกฎระเบียบว่าด้วยข้อกำหนดสำหรับการขึ้นทะเบียน การผลิต การคิดค้นสูตร การนำเข้า การส่งออก การจำหน่าย การโฆษณา และการใช้สารกำจัดศัตรูพืชที่ผลิตจากพืชและจุลินทีย์ทั้งในรูปแบบครัวเรือน และใช้ในวิชาชีพ โดยในกฎระเบียบนี้จะมีการระบุถึงข้อกำหนดในการต่ออายุการขึ้นทะเบียนและการอนุญาตแก่ผู้นำเข้าและผู้จัดจำหน่าย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TBT/NIC/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10321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826/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สินค้าเกษตรอินทรีย์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ปรับปรุงกฎระเบียบว่าด้วยข้อกำหนดเชิงเทคนิคสำหรับการผลิตสินค้าเกษตรอินทรีย์และรายการสารเคมีและข้อกำหนดการดำเนินการที่อนุญาตให้ใช้ในการผลิตสินค้าเกษตรอินทรีย์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https://www.in.gov.br/web/dou/-/portaria-sda-n-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811-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29-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de-maio-de-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2023-487187581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ก.ค. 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G/TBT/N/PER/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จัดทำร่างกฎระเบียบว่าด้วยการควบคุมกิจกรรมที่เกี่ยวข้องกับช่วงชีวิตของปุ๋ย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Life cycle)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ทั้งการผลิต การใช้ การดำเนินการกำจัดปุ๋ยและผลิตภัณฑ์ปรับปรุงดิน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TBT/PER/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10464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G/TBT/N/MEX/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521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</w:t>
            </w:r>
          </w:p>
        </w:tc>
        <w:tc>
          <w:tcPr>
            <w:tcW w:w="4820" w:type="dxa"/>
          </w:tcPr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จัดทำร่างการปรับปรุงมาตรบานเม้กซิโกว่าด้วยการกำหนดลักษณะและข้อกำหนดเฉพาะสำหรับการรับรอง และการติดฉลากเมล็ดพันธุ์และวัสดุขยายพันธุ์อื่นๆ ที่ผลิตในเม็กซิโก</w:t>
            </w:r>
          </w:p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โดยมาตรฐานนี้ไม่มีผลต่อเมล็ดพันธุ์นำเข้าและเมล็ดพันธุ์ที่กำหนด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TBT/MEX/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10233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248/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เครื่องจักรทางการเกษตร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ว่าด้วยข้อกำหนดเชิงเทคนิคว่าด้วยการขออนุญาตและการตรวจสอบเครื่องจักรทางการเกษตรและรถลากจูง รวมถึงส่วนประกอบที่เกี่ยวข้อง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10177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10177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262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เมล็ดพันธุ์และวัสดุปลูกของพันธุ์พืช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เพื่อปรับปรุงขั้นตอนการออกหรือปฏิเสธการออก การออกใหม่ ยกเลิกการยืนยันการนำเข้าเมล็ดพันธุ์และตัวอย่างวัสดุปลูกของพันธุ์พืชที่ไม่ได้ระบุไว้ในทะเบียนพันธุ์พืชของรัฐที่มีสิทธิ์จำหน่ายในยูเครนเพื่อการเพาะพันธุ์ การวิจัยและการเปิดรับ การส่งออกเมล็ดพันธุ์และตัวอย่างวัสดุปลูกของพันธุ์พืชที่ไม่ได้ระบุไว้ในทะเบียนพันธุ์พืชของประเทศยูเครน รวมถึงการแนะนำการควบคุมการใช้ตัวอย่างเมล็ดพันธุ์และวัสดุปลูก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10558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รวันดา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G/TBT/N/RWA/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880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กากน้ำตาล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จัดทำร่างมาตรฐานรวันดา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DRS 563: 2023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กากน้ำตาล ระบุข้อกำหนด วิธีการการสุ่มตัวอย่างและวิธีการทดสอบสำหรับกากน้ำตาลสำหรับการบริโภคของมนุษย์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TBT/RWA/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10109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ศรีลังกา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G/TBT/N/LKA/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ร่างแก้ไขกฎระเบียบเกี่ยวกับการอนุญาตให้ใช้วัตถุกันเสีย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Preservatives)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ในการถนอมอาหาร สควอชผลไม้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ไซรัปผลไม้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และน้ำเชื่อมผลไม้ ตามกฎระเบียบ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(Preservatives) Regulation, 2019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ภายใต้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Act 26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ปี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1980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https://members.wto.org/crnattachments/2023/TBT/LKA/23_10017_00_x.pdf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ศรีลังกา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G/TBT/N/LKA/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ไซรัปผลไม้ (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Fruit Cordial Concentrates, Fruit Squash Concentrates, Fruit Syrup Concentrates)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จัดทำร่างการปรับปรุงข้อกำหนดในกฎระเบียบว่าด้วยมาตรฐานเฉพาะของไซรัปผลไม้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Fruit Cordial Concentrates, Fruit Squash Concentrates, Fruit Syrup Concentrates)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https://members.wto.org/crnattachments/2023/TBT/LKA/23_10018_00_x.pdf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ศรีลังกา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G/TBT/N/LKA/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ร่างแก้ไขกฎระเบียบเกี่ยวกับวัตถุกันเสีย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Preservatives)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ถนอมอาหารที่อนุญาตให้ใช้ในเครื่องดื่มอัดลมตามกฎระเบียบ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Act 26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ปี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1980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https://members.wto.org/crnattachments/2023/TBT/LKA/23_10019_00_x.pdf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ศรีลังกา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G/TBT/N/LKA/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ฉลากอาหาร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จัดทำร่างการปรับปรุงกฎระเบียบว่าด้วยการติดฉลากอาหารประจำปี 66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TBT/LKA/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10503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985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ผลิตภัณฑ์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Biocidal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อนุมัติให้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sulfur dioxide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ที่เกิดจาก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sulfur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โดยการเผาไหม้เป็นสารออกฤทธิ์สำหรับใช้ในผลิตภัณฑ์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biocidal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ประเภทผลิตภัณฑ์ที่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https://members.wto.org/crnattachments/2023/TBT/EEC/23_10055_00_e.pdf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5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วันหลังจากประกาศใน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988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สารออกฤทธิ์ทางชีวาพ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ยบของสหภาพยุโรปว่าด้วยการอนุญาตให้ใช้กรดฟอมิกเป็นสารออกฤทธิ์ทางชีวภาพในประเภท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สารทำความสะอาดที่ไม่ได้ใช้สัมผัสกับสัตว์และมนุษย์โดยตรง)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สารทำความสะอาดที่ใช้ทางการสัตว์แพทย์)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สารทำความสะอาดในอาหารและอาหารสัตว์รวมถึงสิ่งที่เกี่ยวข้อง) และ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สารทำความสะอาดในน้ำดื่ม) ตามที่กำหนดในกฎระเบียบของสหภาพยุโรป เลขที่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528/2012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https://members.wto.org/crnattachments/2023/TBT/EEC/23_10429_00_e.pdf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10429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1928/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ถั่วลูกไก่ (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Chickpea/Garbanzo Beans)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United States Standards for Beans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ภายใต้กฎหมาย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United States Agricultural Marketing Act of 1946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ของถั่วลูกไก่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Chickpea/Garbanzo Beans)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ในส่วนที่เกี่ยวกับปัจจัยกำหนดเกรด ความชื้นและความแตกต่างของสายพันธุ์ถั่วลูกไก่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2023-06-14/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2023-12708.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1737/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เนื้อสุกร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ประกาศเกี่ยวกับการบังคับใช้ข้อเสนอที่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12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เกี่ยวกับเนื้อสุกรจะจำหน่ายได้ถึงวันที่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ธ.ค.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985B4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https://www.govinfo.gov/content/pkg/FR-2023-06-14/html/2023-12708.htm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สิงคโปร์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G/TBT/N/SGP/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ประกาศบังคับใช้แผนกำหนดให้มีการคืนบรรจุภัณฑ์ของเครื่องดื่ม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beverage container return scheme)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ฉบับปรับปรุง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https://sso.agc.gov.sg/Acts-Supp/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14-2023/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Published/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20230428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?DocDate=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20230428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ก.ค. 68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อินเดีย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G/TBT/N/IND/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271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เครื่องดื่มแอลกอฮอล์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จัดทำร่างกฎระเบียบการแก้ไขมาตรฐานและความปลอดภัยด้านอาหาร (เครื่องดื่มแอลกอฮอล์) ปี 2566 เกี่ยวข้องกับมาตรฐานของ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Mead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ไวน์น้ำผึ้ง)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คราฟต์เบียร์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สุราอินเดีย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และคำจำกัดความของเครื่องดื่มที่มีแอลกอฮอล์ต่ำ/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RTD,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เครื่องดื่มที่มีไวน์เป็นส่วนประกอบ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และสุราของประเทศ เป็นต้น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TBT/IND/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10085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อิสราเอล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G/TBT/N/ISR/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823/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ผักและผลไม้แช่เแข็ง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ประกาศยกเลิกกระบวนการปรับปรุงมาตรฐาน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 877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ว่าด้วยเรื่องผักและผลไม้แช่เแข็ง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พ.ค. 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อิสราเอล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G/TBT/N/ISR/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1103/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ประกาศปรับปรุงวันในการประกาศยกเลิกร่างกฎระเบียบ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 1059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Tolerances for weight and volume of prepackaged food products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อิสราเอล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G/TBT/N/ISR/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1175/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แตงกวาดอง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ประกาศยกเลิกกระบวนการปรับปรุงมาตรฐาน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 58 part 2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ว่าด้วยเรื่องแตงกวาดอง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เม.ย. 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อิสราเอล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G/TBT/N/ISR/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1178/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เครื่องดื่มไวน์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ประกาศยกเลิกกระบวนการปรับปรุงมาตรฐาน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 1318 part 2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ว่าด้วยเรื่องเครื่องดื่มไวน์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เม.ย. 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อียิปต์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G/TBT/N/EGY/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313/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มิถุนายน 2566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นมและผลิตภัณฑ์นม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ประกาศขยายระยะเวลาอนุญาตให้นำเข้านมและผลิตภัณฑ์นมที่ไม่มีใบรับรองฮาลาล จนถึงวันที่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30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ก.ย.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วันที่เดินทางถึงท่าเรืออียิปต์)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วัสดุขยายพันธุ์ของมันฝรั่ง</w:t>
            </w:r>
          </w:p>
        </w:tc>
        <w:tc>
          <w:tcPr>
            <w:tcW w:w="4820" w:type="dxa"/>
          </w:tcPr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จัดทำร่างกฎระเบียบเพื่อนำข้อกำหนดของตลาดร่วมอเมริกาใต้ตอนล่าง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เลขที่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29/22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ว่าด้วยการยอมรับกฎระเบียบของประเทศสมาชิก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ในส่วนของวัสดุขยายพันธุ์ของมันฝรั่ง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10168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10168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  <w:p w:rsidR="00985B49" w:rsidRPr="00442214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เมล็ดพันธุ์พืช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ประกาศร่างพระราชกฤษฎีกาสำหรับการอนุมัติชื่อเมล็ดพันธุ์พืชในแต่ละรัฐสมาชิก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MERCOSUR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https://members.wto.org/crnattachments/2023/TBT/URY/23_10169_00_s.pdf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985B49" w:rsidRPr="00EB40EB" w:rsidTr="00985B49">
        <w:trPr>
          <w:trHeight w:val="340"/>
          <w:jc w:val="center"/>
        </w:trPr>
        <w:tc>
          <w:tcPr>
            <w:tcW w:w="739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84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 xml:space="preserve"> 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G/TBT/N/URY/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79</w:t>
            </w:r>
          </w:p>
          <w:p w:rsidR="00985B49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มิถุนายน 2566</w:t>
            </w:r>
          </w:p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985B49" w:rsidRPr="00EB40EB" w:rsidRDefault="00985B49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มะเขือเทศ</w:t>
            </w:r>
          </w:p>
        </w:tc>
        <w:tc>
          <w:tcPr>
            <w:tcW w:w="4820" w:type="dxa"/>
          </w:tcPr>
          <w:p w:rsidR="00985B49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จัดทำร่างกฎระเบียบเพื่อนำข้อกำหนดของตลาดร่วมอเมริกาใต้ตอนล่าง (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MERCOSUR)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เลขที่ 26/17 ว่าด้วยการยอมรับกฎระเบียบของประเทศสมาชิก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 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ในส่วนของข้อกำหนดด้านคุณภาพและลักษณะของมะเขือเทศ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985B49" w:rsidRPr="0082167F" w:rsidRDefault="00985B49" w:rsidP="007D519A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985B49" w:rsidRPr="00EB40EB" w:rsidRDefault="00985B49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TBT/URY/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10170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82167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11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85B49" w:rsidRPr="00EB40EB" w:rsidRDefault="00985B49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82167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985B49" w:rsidRPr="00EB40EB" w:rsidRDefault="00985B49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:  * คือ มาตรการที่อาจมีผลกระทบต่อการค้าของไทยกับประเทศคู่ค้า</w:t>
      </w:r>
    </w:p>
    <w:p w:rsidR="00985B49" w:rsidRPr="00EB40EB" w:rsidRDefault="00985B49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</w:rPr>
        <w:t>spsthailand@gmail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.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com   </w:t>
      </w:r>
    </w:p>
    <w:p w:rsidR="00985B49" w:rsidRPr="00EB40EB" w:rsidRDefault="00985B49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รายละเอียดเพิ่มเติม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  <w:cs/>
          </w:rPr>
          <w:t>://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docsonline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  <w:cs/>
          </w:rPr>
          <w:t>.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wto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  <w:cs/>
          </w:rPr>
          <w:t>.</w:t>
        </w:r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org</w:t>
        </w:r>
      </w:hyperlink>
      <w:r w:rsidRPr="00EF4E94">
        <w:rPr>
          <w:rFonts w:ascii="TH Baijam" w:hAnsi="TH Baijam" w:cs="TH Baijam"/>
          <w:color w:val="000000"/>
          <w:sz w:val="28"/>
          <w:szCs w:val="28"/>
          <w:cs/>
        </w:rPr>
        <w:t>/</w:t>
      </w:r>
      <w:r>
        <w:rPr>
          <w:rFonts w:ascii="TH Baijam" w:hAnsi="TH Baijam" w:cs="TH Baijam"/>
          <w:color w:val="000000"/>
          <w:sz w:val="28"/>
          <w:szCs w:val="28"/>
          <w:cs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985B49" w:rsidRPr="00EF4E94" w:rsidRDefault="00985B49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://</w:t>
      </w:r>
      <w:r w:rsidRPr="00EB40EB">
        <w:rPr>
          <w:rFonts w:ascii="TH Baijam" w:hAnsi="TH Baijam" w:cs="TH Baijam"/>
          <w:color w:val="000000"/>
          <w:sz w:val="28"/>
          <w:szCs w:val="28"/>
        </w:rPr>
        <w:t>goo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.</w:t>
      </w:r>
      <w:r w:rsidRPr="00EB40EB">
        <w:rPr>
          <w:rFonts w:ascii="TH Baijam" w:hAnsi="TH Baijam" w:cs="TH Baijam"/>
          <w:color w:val="000000"/>
          <w:sz w:val="28"/>
          <w:szCs w:val="28"/>
        </w:rPr>
        <w:t>gl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/</w:t>
      </w:r>
      <w:r w:rsidRPr="00EB40EB">
        <w:rPr>
          <w:rFonts w:ascii="TH Baijam" w:hAnsi="TH Baijam" w:cs="TH Baijam"/>
          <w:color w:val="000000"/>
          <w:sz w:val="28"/>
          <w:szCs w:val="28"/>
        </w:rPr>
        <w:t>forms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/</w:t>
      </w:r>
      <w:r w:rsidRPr="00EB40EB">
        <w:rPr>
          <w:rFonts w:ascii="TH Baijam" w:hAnsi="TH Baijam" w:cs="TH Baijam"/>
          <w:color w:val="000000"/>
          <w:sz w:val="28"/>
          <w:szCs w:val="28"/>
        </w:rPr>
        <w:t>DLQjsCNov6YXscUq2</w:t>
      </w:r>
      <w:r>
        <w:rPr>
          <w:rFonts w:ascii="TH Baijam" w:hAnsi="TH Baijam" w:cs="TH Baijam"/>
          <w:color w:val="000000"/>
          <w:sz w:val="28"/>
          <w:szCs w:val="28"/>
          <w:cs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985B49" w:rsidRPr="00EB40EB" w:rsidRDefault="00985B49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985B49" w:rsidRDefault="00985B49" w:rsidP="00F06F38">
      <w:pPr>
        <w:ind w:left="357"/>
        <w:rPr>
          <w:rFonts w:ascii="TH Baijam" w:hAnsi="TH Baijam" w:cs="TH Baijam"/>
          <w:color w:val="000000"/>
          <w:sz w:val="28"/>
          <w:szCs w:val="28"/>
          <w:cs/>
        </w:rPr>
        <w:sectPr w:rsidR="00985B49" w:rsidSect="00985B49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985B49" w:rsidRPr="00EB40EB" w:rsidRDefault="00985B49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985B49" w:rsidRPr="00EB40EB" w:rsidSect="00985B49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C6" w:rsidRDefault="000348C6">
      <w:r>
        <w:separator/>
      </w:r>
    </w:p>
  </w:endnote>
  <w:endnote w:type="continuationSeparator" w:id="0">
    <w:p w:rsidR="000348C6" w:rsidRDefault="000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558627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85B49" w:rsidRPr="00054A14" w:rsidRDefault="00985B49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</w:instrText>
        </w:r>
        <w:r w:rsidRPr="00054A14">
          <w:rPr>
            <w:rFonts w:ascii="TH Baijam" w:hAnsi="TH Baijam" w:cs="TH Baijam"/>
            <w:sz w:val="28"/>
            <w:szCs w:val="28"/>
            <w:cs/>
          </w:rPr>
          <w:instrText xml:space="preserve">* </w:instrText>
        </w:r>
        <w:r w:rsidRPr="00054A14">
          <w:rPr>
            <w:rFonts w:ascii="TH Baijam" w:hAnsi="TH Baijam" w:cs="TH Baijam"/>
            <w:sz w:val="28"/>
            <w:szCs w:val="28"/>
          </w:rPr>
          <w:instrText xml:space="preserve">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85B49" w:rsidRDefault="0098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57012" w:rsidRPr="00054A14" w:rsidRDefault="00957012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</w:instrText>
        </w:r>
        <w:r w:rsidRPr="00054A14">
          <w:rPr>
            <w:rFonts w:ascii="TH Baijam" w:hAnsi="TH Baijam" w:cs="TH Baijam"/>
            <w:sz w:val="28"/>
            <w:szCs w:val="28"/>
            <w:cs/>
          </w:rPr>
          <w:instrText xml:space="preserve">* </w:instrText>
        </w:r>
        <w:r w:rsidRPr="00054A14">
          <w:rPr>
            <w:rFonts w:ascii="TH Baijam" w:hAnsi="TH Baijam" w:cs="TH Baijam"/>
            <w:sz w:val="28"/>
            <w:szCs w:val="28"/>
          </w:rPr>
          <w:instrText xml:space="preserve">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985B49"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57012" w:rsidRDefault="00957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C6" w:rsidRDefault="000348C6">
      <w:r>
        <w:separator/>
      </w:r>
    </w:p>
  </w:footnote>
  <w:footnote w:type="continuationSeparator" w:id="0">
    <w:p w:rsidR="000348C6" w:rsidRDefault="0003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1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348C6"/>
    <w:rsid w:val="00070563"/>
    <w:rsid w:val="00072929"/>
    <w:rsid w:val="00085974"/>
    <w:rsid w:val="00091F47"/>
    <w:rsid w:val="000A07AE"/>
    <w:rsid w:val="000D7A34"/>
    <w:rsid w:val="001210DA"/>
    <w:rsid w:val="001230BD"/>
    <w:rsid w:val="00141909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40F66"/>
    <w:rsid w:val="00256156"/>
    <w:rsid w:val="00257604"/>
    <w:rsid w:val="00267AAD"/>
    <w:rsid w:val="002956EE"/>
    <w:rsid w:val="002B70B9"/>
    <w:rsid w:val="002D2EEF"/>
    <w:rsid w:val="00305F97"/>
    <w:rsid w:val="00317F24"/>
    <w:rsid w:val="0033078E"/>
    <w:rsid w:val="0039326B"/>
    <w:rsid w:val="003D236E"/>
    <w:rsid w:val="00417721"/>
    <w:rsid w:val="00425BB5"/>
    <w:rsid w:val="00442214"/>
    <w:rsid w:val="00467177"/>
    <w:rsid w:val="004B09C4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D519A"/>
    <w:rsid w:val="007F335F"/>
    <w:rsid w:val="00893666"/>
    <w:rsid w:val="0089504E"/>
    <w:rsid w:val="008C6468"/>
    <w:rsid w:val="008F0017"/>
    <w:rsid w:val="00926147"/>
    <w:rsid w:val="009355F4"/>
    <w:rsid w:val="00957012"/>
    <w:rsid w:val="009669AA"/>
    <w:rsid w:val="009670D6"/>
    <w:rsid w:val="00967CA7"/>
    <w:rsid w:val="00985B49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BF4721"/>
    <w:rsid w:val="00C06441"/>
    <w:rsid w:val="00C11746"/>
    <w:rsid w:val="00C36CC4"/>
    <w:rsid w:val="00C47062"/>
    <w:rsid w:val="00CD228D"/>
    <w:rsid w:val="00CD2956"/>
    <w:rsid w:val="00CD699E"/>
    <w:rsid w:val="00D0068A"/>
    <w:rsid w:val="00D2311C"/>
    <w:rsid w:val="00D238C9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615FA"/>
    <w:rsid w:val="00F84B00"/>
    <w:rsid w:val="00F866E2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76FB-C738-485F-A482-C9B7F9C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D75QF42</cp:lastModifiedBy>
  <cp:revision>1</cp:revision>
  <cp:lastPrinted>2019-08-14T10:34:00Z</cp:lastPrinted>
  <dcterms:created xsi:type="dcterms:W3CDTF">2023-07-12T04:08:00Z</dcterms:created>
  <dcterms:modified xsi:type="dcterms:W3CDTF">2023-07-12T04:12:00Z</dcterms:modified>
</cp:coreProperties>
</file>