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7F6D" w14:textId="77777777" w:rsidR="009239F7" w:rsidRPr="002F6A28" w:rsidRDefault="00C56CD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86323D4" w14:textId="77777777" w:rsidR="009239F7" w:rsidRPr="002F6A28" w:rsidRDefault="00C56CD2" w:rsidP="002F6A28">
      <w:pPr>
        <w:jc w:val="center"/>
      </w:pPr>
      <w:r w:rsidRPr="002F6A28">
        <w:t>The following notification is being circulated in accordance with Article 10.6</w:t>
      </w:r>
    </w:p>
    <w:p w14:paraId="0E6274C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43F4F" w14:paraId="5188B6B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227AED1" w14:textId="77777777" w:rsidR="00F85C99" w:rsidRPr="002F6A28" w:rsidRDefault="00C56CD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76A79AA" w14:textId="77777777" w:rsidR="00F85C99" w:rsidRPr="002F6A28" w:rsidRDefault="00C56CD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PHILIPPINES</w:t>
            </w:r>
            <w:bookmarkEnd w:id="1"/>
          </w:p>
          <w:p w14:paraId="4ACA64C5" w14:textId="77777777" w:rsidR="00F85C99" w:rsidRPr="002F6A28" w:rsidRDefault="00C56CD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43F4F" w14:paraId="0341E2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5E8C4" w14:textId="77777777" w:rsidR="00F85C99" w:rsidRPr="002F6A28" w:rsidRDefault="00C56CD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F64B9" w14:textId="77777777" w:rsidR="00F85C99" w:rsidRPr="002F6A28" w:rsidRDefault="00C56CD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9D7C58F" w14:textId="77777777" w:rsidR="00EE3A11" w:rsidRPr="00C379C8" w:rsidRDefault="00C56CD2" w:rsidP="00155128">
            <w:r w:rsidRPr="00C379C8">
              <w:t>DR. SAMUEL A. ZACATE</w:t>
            </w:r>
          </w:p>
          <w:p w14:paraId="35C2A2D7" w14:textId="77777777" w:rsidR="00EE3A11" w:rsidRPr="00C379C8" w:rsidRDefault="00C56CD2" w:rsidP="00155128">
            <w:r w:rsidRPr="00C379C8">
              <w:t>Director General</w:t>
            </w:r>
          </w:p>
          <w:p w14:paraId="06EDEC2C" w14:textId="77777777" w:rsidR="00EE3A11" w:rsidRPr="00C379C8" w:rsidRDefault="00C56CD2" w:rsidP="00155128">
            <w:r w:rsidRPr="00C379C8">
              <w:t>Food and Drug Administration</w:t>
            </w:r>
          </w:p>
          <w:p w14:paraId="708A1432" w14:textId="77777777" w:rsidR="00EE3A11" w:rsidRPr="00C379C8" w:rsidRDefault="00C56CD2" w:rsidP="00155128">
            <w:pPr>
              <w:spacing w:after="120"/>
            </w:pPr>
            <w:r w:rsidRPr="00C379C8">
              <w:t>DEPARTMENT OF HEALTH</w:t>
            </w:r>
            <w:bookmarkEnd w:id="5"/>
          </w:p>
          <w:p w14:paraId="7C35B58D" w14:textId="77777777" w:rsidR="00F85C99" w:rsidRPr="002F6A28" w:rsidRDefault="00C56CD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382D7F0" w14:textId="77777777" w:rsidR="00AC6C6E" w:rsidRPr="00A64E7A" w:rsidRDefault="00C56CD2" w:rsidP="00AA646C">
            <w:pPr>
              <w:rPr>
                <w:lang w:val="es-ES"/>
              </w:rPr>
            </w:pPr>
            <w:r w:rsidRPr="00A64E7A">
              <w:rPr>
                <w:lang w:val="es-ES"/>
              </w:rPr>
              <w:t>PILAR MARILYN P. PAGAYUNAN</w:t>
            </w:r>
          </w:p>
          <w:p w14:paraId="3DA2D373" w14:textId="77777777" w:rsidR="00AC6C6E" w:rsidRPr="00A64E7A" w:rsidRDefault="00C56CD2" w:rsidP="00AA646C">
            <w:pPr>
              <w:rPr>
                <w:lang w:val="es-ES"/>
              </w:rPr>
            </w:pPr>
            <w:r w:rsidRPr="00A64E7A">
              <w:rPr>
                <w:lang w:val="es-ES"/>
              </w:rPr>
              <w:t>Director IV</w:t>
            </w:r>
          </w:p>
          <w:p w14:paraId="2A96C4A3" w14:textId="77777777" w:rsidR="00AC6C6E" w:rsidRPr="00C379C8" w:rsidRDefault="00C56CD2" w:rsidP="00AA646C">
            <w:r w:rsidRPr="00C379C8">
              <w:t>Center for Food Regulation and Research (CFRR)</w:t>
            </w:r>
          </w:p>
          <w:p w14:paraId="75025D3B" w14:textId="77777777" w:rsidR="00AC6C6E" w:rsidRPr="00C379C8" w:rsidRDefault="00C56CD2" w:rsidP="00AA646C">
            <w:r w:rsidRPr="00C379C8">
              <w:t>Food and Drug Administration</w:t>
            </w:r>
          </w:p>
          <w:p w14:paraId="76BF8D3A" w14:textId="77777777" w:rsidR="00AC6C6E" w:rsidRPr="00C379C8" w:rsidRDefault="00C56CD2" w:rsidP="00AA646C">
            <w:r w:rsidRPr="00C379C8">
              <w:t>DEPARTMENT OF HEALTH</w:t>
            </w:r>
          </w:p>
          <w:p w14:paraId="2D99E062" w14:textId="77777777" w:rsidR="00AC6C6E" w:rsidRPr="00C379C8" w:rsidRDefault="00C56CD2" w:rsidP="00AA646C">
            <w:pPr>
              <w:spacing w:after="120"/>
            </w:pPr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cfrr@fda.gov.ph</w:t>
              </w:r>
            </w:hyperlink>
            <w:r w:rsidRPr="00C379C8">
              <w:t xml:space="preserve">; </w:t>
            </w:r>
            <w:hyperlink r:id="rId9" w:history="1">
              <w:r w:rsidRPr="00C379C8">
                <w:rPr>
                  <w:color w:val="0000FF"/>
                  <w:u w:val="single"/>
                </w:rPr>
                <w:t>mvdpinion@fda.gov.ph</w:t>
              </w:r>
            </w:hyperlink>
            <w:r w:rsidRPr="00C379C8">
              <w:t xml:space="preserve">; </w:t>
            </w:r>
            <w:hyperlink r:id="rId10" w:history="1">
              <w:r w:rsidRPr="00C379C8">
                <w:rPr>
                  <w:color w:val="0000FF"/>
                  <w:u w:val="single"/>
                </w:rPr>
                <w:t>ojolaurenana@fda.gov.ph</w:t>
              </w:r>
            </w:hyperlink>
            <w:r w:rsidRPr="00C379C8">
              <w:t xml:space="preserve">; </w:t>
            </w:r>
            <w:hyperlink r:id="rId11" w:history="1">
              <w:r w:rsidRPr="00C379C8">
                <w:rPr>
                  <w:color w:val="0000FF"/>
                  <w:u w:val="single"/>
                </w:rPr>
                <w:t>BPS@dti.gov.ph</w:t>
              </w:r>
            </w:hyperlink>
            <w:bookmarkEnd w:id="7"/>
          </w:p>
        </w:tc>
      </w:tr>
      <w:tr w:rsidR="00543F4F" w14:paraId="5C5C16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17224" w14:textId="77777777" w:rsidR="00F85C99" w:rsidRPr="002F6A28" w:rsidRDefault="00C56C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48E19" w14:textId="77777777" w:rsidR="00F85C99" w:rsidRPr="0058336F" w:rsidRDefault="00C56CD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43F4F" w14:paraId="2B5FC3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20FD3" w14:textId="77777777" w:rsidR="00F85C99" w:rsidRPr="002F6A28" w:rsidRDefault="00C56CD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5F409" w14:textId="77777777" w:rsidR="00F85C99" w:rsidRPr="002F6A28" w:rsidRDefault="00C56CD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technology (ICS code(s): 67)</w:t>
            </w:r>
            <w:bookmarkEnd w:id="22"/>
          </w:p>
        </w:tc>
      </w:tr>
      <w:tr w:rsidR="00543F4F" w14:paraId="54F92A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3A058" w14:textId="77777777" w:rsidR="00F85C99" w:rsidRPr="002F6A28" w:rsidRDefault="00C56CD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AFC2E" w14:textId="77777777" w:rsidR="00F85C99" w:rsidRPr="002F6A28" w:rsidRDefault="00C56CD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FDA Circular "Guidelines on the development of a Risk Management Plan for Food Manufacturers, Repackers, Traders, and Distributors"; (7 page(s), in English)</w:t>
            </w:r>
            <w:bookmarkEnd w:id="24"/>
          </w:p>
        </w:tc>
      </w:tr>
      <w:tr w:rsidR="00543F4F" w14:paraId="3D09D8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54BFC" w14:textId="77777777" w:rsidR="00F85C99" w:rsidRPr="002F6A28" w:rsidRDefault="00C56C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0F928" w14:textId="77777777" w:rsidR="00F85C99" w:rsidRPr="002F6A28" w:rsidRDefault="00C56CD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To guide the Food Manufacturers, Traders, and Distributors in crafting their Risk Management Plans to guarantee that hazards and risks are prevented or at least minimized. Specific Objectives are as follows:</w:t>
            </w:r>
          </w:p>
          <w:p w14:paraId="5283620D" w14:textId="77777777" w:rsidR="00FE448B" w:rsidRPr="00C379C8" w:rsidRDefault="00C56CD2" w:rsidP="002F6A28">
            <w:pPr>
              <w:spacing w:before="120" w:after="120"/>
            </w:pPr>
            <w:r w:rsidRPr="00C379C8">
              <w:t>A. To provide a standard format in the development of a Risk Management Plan.</w:t>
            </w:r>
          </w:p>
          <w:p w14:paraId="15556391" w14:textId="77777777" w:rsidR="00FE448B" w:rsidRPr="00C379C8" w:rsidRDefault="00C56CD2" w:rsidP="002F6A28">
            <w:pPr>
              <w:spacing w:before="120" w:after="120"/>
            </w:pPr>
            <w:r w:rsidRPr="00C379C8">
              <w:t>B. To ensure that the crafting of their Risk Management is evidence and science-based</w:t>
            </w:r>
          </w:p>
          <w:p w14:paraId="07D97929" w14:textId="77777777" w:rsidR="00FE448B" w:rsidRPr="00C379C8" w:rsidRDefault="00C56CD2" w:rsidP="002F6A28">
            <w:pPr>
              <w:spacing w:before="120" w:after="120"/>
            </w:pPr>
            <w:r w:rsidRPr="00C379C8">
              <w:t>C. To ensure that the RMP is effectively communicated to the relevant stakeholders.</w:t>
            </w:r>
            <w:bookmarkEnd w:id="26"/>
          </w:p>
        </w:tc>
      </w:tr>
      <w:tr w:rsidR="00543F4F" w14:paraId="4AA334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C344D" w14:textId="77777777" w:rsidR="00F85C99" w:rsidRPr="002F6A28" w:rsidRDefault="00C56C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F537F" w14:textId="77777777" w:rsidR="00F85C99" w:rsidRPr="002F6A28" w:rsidRDefault="00C56CD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543F4F" w14:paraId="4C4DA6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10647" w14:textId="77777777" w:rsidR="00F85C99" w:rsidRPr="002F6A28" w:rsidRDefault="00C56CD2" w:rsidP="002820C8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AC20A" w14:textId="77777777" w:rsidR="00072B36" w:rsidRPr="002F6A28" w:rsidRDefault="00C56CD2" w:rsidP="002820C8">
            <w:pPr>
              <w:keepNext/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D62B102" w14:textId="77777777" w:rsidR="00F85C99" w:rsidRPr="002F6A28" w:rsidRDefault="00C56CD2" w:rsidP="002820C8">
            <w:pPr>
              <w:keepNext/>
              <w:numPr>
                <w:ilvl w:val="0"/>
                <w:numId w:val="16"/>
              </w:numPr>
              <w:spacing w:before="120" w:after="120"/>
              <w:ind w:left="1352"/>
            </w:pPr>
            <w:bookmarkStart w:id="30" w:name="sps9a"/>
            <w:r w:rsidRPr="002F6A28">
              <w:t>Implementing Rules and Regulation (IRR) of the Food Safety Act of 2013</w:t>
            </w:r>
          </w:p>
          <w:p w14:paraId="1E2D561F" w14:textId="77777777" w:rsidR="00F85C99" w:rsidRPr="002F6A28" w:rsidRDefault="00C56CD2" w:rsidP="002820C8">
            <w:pPr>
              <w:keepNext/>
              <w:numPr>
                <w:ilvl w:val="0"/>
                <w:numId w:val="16"/>
              </w:numPr>
              <w:spacing w:before="120" w:after="120"/>
              <w:ind w:left="1352"/>
            </w:pPr>
            <w:r w:rsidRPr="002F6A28">
              <w:t>Implementing Rules and Regulation (IRR) of the Republic Act 9711</w:t>
            </w:r>
            <w:bookmarkEnd w:id="30"/>
          </w:p>
        </w:tc>
      </w:tr>
      <w:tr w:rsidR="00543F4F" w14:paraId="66DFB82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CC7B1" w14:textId="77777777" w:rsidR="00EE3A11" w:rsidRPr="002F6A28" w:rsidRDefault="00C56C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5A5BE" w14:textId="77777777" w:rsidR="00EE3A11" w:rsidRPr="002F6A28" w:rsidRDefault="00C56CD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2A45F10" w14:textId="77777777" w:rsidR="00EE3A11" w:rsidRPr="002F6A28" w:rsidRDefault="00C56CD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543F4F" w14:paraId="1E87A4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8E472" w14:textId="77777777" w:rsidR="00F85C99" w:rsidRPr="002F6A28" w:rsidRDefault="00C56C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50C44C" w14:textId="77777777" w:rsidR="00F85C99" w:rsidRPr="002F6A28" w:rsidRDefault="00C56CD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9 August 2023</w:t>
            </w:r>
            <w:bookmarkEnd w:id="38"/>
          </w:p>
        </w:tc>
      </w:tr>
      <w:tr w:rsidR="00543F4F" w14:paraId="2152A60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4BDA261" w14:textId="77777777" w:rsidR="00F85C99" w:rsidRPr="002F6A28" w:rsidRDefault="00C56CD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A0B36B6" w14:textId="77777777" w:rsidR="00F85C99" w:rsidRPr="002F6A28" w:rsidRDefault="00C56CD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B3EA4EE" w14:textId="77777777" w:rsidR="00EE3A11" w:rsidRPr="00A12DDE" w:rsidRDefault="00C56C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Mr. Neil P. Catajay</w:t>
            </w:r>
          </w:p>
          <w:p w14:paraId="5D4A1CDE" w14:textId="77777777" w:rsidR="00EE3A11" w:rsidRPr="00A12DDE" w:rsidRDefault="00C56C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</w:t>
            </w:r>
          </w:p>
          <w:p w14:paraId="7F426BC1" w14:textId="77777777" w:rsidR="00EE3A11" w:rsidRPr="00A12DDE" w:rsidRDefault="00C56C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Philippine Standards</w:t>
            </w:r>
          </w:p>
          <w:p w14:paraId="322CB5AA" w14:textId="77777777" w:rsidR="00EE3A11" w:rsidRPr="00A12DDE" w:rsidRDefault="00C56C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of Trade and Industry</w:t>
            </w:r>
          </w:p>
          <w:p w14:paraId="7841F99F" w14:textId="77777777" w:rsidR="00EE3A11" w:rsidRPr="00A12DDE" w:rsidRDefault="00C56C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3F Trade and Industry Building</w:t>
            </w:r>
          </w:p>
          <w:p w14:paraId="161231D0" w14:textId="77777777" w:rsidR="00EE3A11" w:rsidRPr="00A12DDE" w:rsidRDefault="00C56C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361 Sen. Gil Puyat Avenue</w:t>
            </w:r>
          </w:p>
          <w:p w14:paraId="530DC583" w14:textId="77777777" w:rsidR="00EE3A11" w:rsidRPr="00A12DDE" w:rsidRDefault="00C56C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Makati City</w:t>
            </w:r>
          </w:p>
          <w:p w14:paraId="525F2155" w14:textId="77777777" w:rsidR="00EE3A11" w:rsidRPr="00A12DDE" w:rsidRDefault="00C56C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Philippines</w:t>
            </w:r>
          </w:p>
          <w:p w14:paraId="268EA58E" w14:textId="77777777" w:rsidR="00EE3A11" w:rsidRPr="00A12DDE" w:rsidRDefault="00C56C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(632) 751 4700; (632) 7913128</w:t>
            </w:r>
          </w:p>
          <w:p w14:paraId="4971ECBC" w14:textId="77777777" w:rsidR="00EE3A11" w:rsidRPr="00A12DDE" w:rsidRDefault="00C56C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2" w:history="1">
              <w:r w:rsidRPr="00A12DDE">
                <w:rPr>
                  <w:bCs/>
                  <w:color w:val="0000FF"/>
                  <w:u w:val="single"/>
                </w:rPr>
                <w:t>bps@dti.gov.ph</w:t>
              </w:r>
            </w:hyperlink>
          </w:p>
          <w:p w14:paraId="3293D252" w14:textId="77777777" w:rsidR="00EE3A11" w:rsidRPr="00A12DDE" w:rsidRDefault="00C56C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3" w:tgtFrame="_blank" w:history="1">
              <w:r w:rsidRPr="00A12DDE">
                <w:rPr>
                  <w:bCs/>
                  <w:color w:val="0000FF"/>
                  <w:u w:val="single"/>
                </w:rPr>
                <w:t>http://www.bps.dti.gov.ph</w:t>
              </w:r>
            </w:hyperlink>
          </w:p>
          <w:p w14:paraId="6BF86E73" w14:textId="77777777" w:rsidR="00EE3A11" w:rsidRPr="00A12DDE" w:rsidRDefault="002820C8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hyperlink r:id="rId14" w:tgtFrame="_blank" w:history="1">
              <w:r w:rsidR="00C56CD2" w:rsidRPr="00A12DDE">
                <w:rPr>
                  <w:bCs/>
                  <w:color w:val="0000FF"/>
                  <w:u w:val="single"/>
                </w:rPr>
                <w:t>https://www.fda.gov.ph/draft-for-comments-guidelines-on-the-development-of-a-risk-management-plan-for-food-manufacturers-repackers-traders-and-distributors/</w:t>
              </w:r>
            </w:hyperlink>
          </w:p>
          <w:p w14:paraId="34B229BD" w14:textId="77777777" w:rsidR="00EE3A11" w:rsidRPr="00A12DDE" w:rsidRDefault="002820C8" w:rsidP="00B16145">
            <w:pPr>
              <w:keepNext/>
              <w:keepLines/>
              <w:rPr>
                <w:bCs/>
              </w:rPr>
            </w:pPr>
            <w:hyperlink r:id="rId15" w:tgtFrame="_blank" w:history="1">
              <w:r w:rsidR="00C56CD2" w:rsidRPr="00A12DDE">
                <w:rPr>
                  <w:bCs/>
                  <w:color w:val="0000FF"/>
                  <w:u w:val="single"/>
                </w:rPr>
                <w:t>https://members.wto.org/crnattachments/2023/TBT/PHL/23_09835_00_e.pdf</w:t>
              </w:r>
            </w:hyperlink>
          </w:p>
          <w:p w14:paraId="31F80A28" w14:textId="77777777" w:rsidR="00EE3A11" w:rsidRPr="00A12DDE" w:rsidRDefault="002820C8" w:rsidP="00B16145">
            <w:pPr>
              <w:keepNext/>
              <w:keepLines/>
              <w:rPr>
                <w:bCs/>
              </w:rPr>
            </w:pPr>
            <w:hyperlink r:id="rId16" w:tgtFrame="_blank" w:history="1">
              <w:r w:rsidR="00C56CD2" w:rsidRPr="00A12DDE">
                <w:rPr>
                  <w:bCs/>
                  <w:color w:val="0000FF"/>
                  <w:u w:val="single"/>
                </w:rPr>
                <w:t>https://members.wto.org/crnattachments/2023/TBT/PHL/23_09835_01_e.pdf</w:t>
              </w:r>
            </w:hyperlink>
          </w:p>
          <w:p w14:paraId="13AA79D9" w14:textId="77777777" w:rsidR="00EE3A11" w:rsidRPr="00A12DDE" w:rsidRDefault="002820C8" w:rsidP="00B16145">
            <w:pPr>
              <w:keepNext/>
              <w:keepLines/>
              <w:rPr>
                <w:bCs/>
              </w:rPr>
            </w:pPr>
            <w:hyperlink r:id="rId17" w:tgtFrame="_blank" w:history="1">
              <w:r w:rsidR="00C56CD2" w:rsidRPr="00A12DDE">
                <w:rPr>
                  <w:bCs/>
                  <w:color w:val="0000FF"/>
                  <w:u w:val="single"/>
                </w:rPr>
                <w:t>https://members.wto.org/crnattachments/2023/TBT/PHL/23_09835_02_e.pdf</w:t>
              </w:r>
            </w:hyperlink>
          </w:p>
          <w:p w14:paraId="0E114118" w14:textId="77777777" w:rsidR="00EE3A11" w:rsidRPr="00A12DDE" w:rsidRDefault="002820C8" w:rsidP="00B16145">
            <w:pPr>
              <w:keepNext/>
              <w:keepLines/>
              <w:rPr>
                <w:bCs/>
              </w:rPr>
            </w:pPr>
            <w:hyperlink r:id="rId18" w:tgtFrame="_blank" w:history="1">
              <w:r w:rsidR="00C56CD2" w:rsidRPr="00A12DDE">
                <w:rPr>
                  <w:bCs/>
                  <w:color w:val="0000FF"/>
                  <w:u w:val="single"/>
                </w:rPr>
                <w:t>https://members.wto.org/crnattachments/2023/TBT/PHL/23_09835_03_e.pdf</w:t>
              </w:r>
            </w:hyperlink>
          </w:p>
          <w:p w14:paraId="46FADF3B" w14:textId="77777777" w:rsidR="00EE3A11" w:rsidRPr="00A12DDE" w:rsidRDefault="002820C8" w:rsidP="00B16145">
            <w:pPr>
              <w:keepNext/>
              <w:keepLines/>
              <w:spacing w:after="120"/>
              <w:rPr>
                <w:bCs/>
              </w:rPr>
            </w:pPr>
            <w:hyperlink r:id="rId19" w:tgtFrame="_blank" w:history="1">
              <w:r w:rsidR="00C56CD2" w:rsidRPr="00A12DDE">
                <w:rPr>
                  <w:bCs/>
                  <w:color w:val="0000FF"/>
                  <w:u w:val="single"/>
                </w:rPr>
                <w:t>https://members.wto.org/crnattachments/2023/TBT/PHL/23_09835_04_e.pdf</w:t>
              </w:r>
            </w:hyperlink>
            <w:bookmarkEnd w:id="42"/>
          </w:p>
        </w:tc>
      </w:tr>
    </w:tbl>
    <w:p w14:paraId="7AB88BAC" w14:textId="77777777" w:rsidR="00EE3A11" w:rsidRPr="002F6A28" w:rsidRDefault="00EE3A11" w:rsidP="002F6A28"/>
    <w:sectPr w:rsidR="00EE3A11" w:rsidRPr="002F6A28" w:rsidSect="00760DB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F113" w14:textId="77777777" w:rsidR="003E0533" w:rsidRDefault="00C56CD2">
      <w:r>
        <w:separator/>
      </w:r>
    </w:p>
  </w:endnote>
  <w:endnote w:type="continuationSeparator" w:id="0">
    <w:p w14:paraId="6791A2C6" w14:textId="77777777" w:rsidR="003E0533" w:rsidRDefault="00C5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386D" w14:textId="77777777" w:rsidR="009239F7" w:rsidRPr="002F6A28" w:rsidRDefault="00C56CD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39BA" w14:textId="77777777" w:rsidR="009239F7" w:rsidRPr="002F6A28" w:rsidRDefault="00C56CD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2485" w14:textId="77777777" w:rsidR="00EE3A11" w:rsidRPr="002F6A28" w:rsidRDefault="00C56CD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EA85" w14:textId="77777777" w:rsidR="003E0533" w:rsidRDefault="00C56CD2">
      <w:r>
        <w:separator/>
      </w:r>
    </w:p>
  </w:footnote>
  <w:footnote w:type="continuationSeparator" w:id="0">
    <w:p w14:paraId="73450379" w14:textId="77777777" w:rsidR="003E0533" w:rsidRDefault="00C5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B923" w14:textId="77777777" w:rsidR="009239F7" w:rsidRPr="002F6A28" w:rsidRDefault="00C56CD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EC7138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46365B" w14:textId="77777777" w:rsidR="009239F7" w:rsidRPr="002F6A28" w:rsidRDefault="00C56CD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EA02E6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0509" w14:textId="77777777" w:rsidR="009239F7" w:rsidRPr="002F6A28" w:rsidRDefault="00C56CD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G/TBT/N/PHL/301</w:t>
    </w:r>
    <w:bookmarkEnd w:id="43"/>
  </w:p>
  <w:p w14:paraId="0164E6D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F78A6A" w14:textId="77777777" w:rsidR="009239F7" w:rsidRPr="002F6A28" w:rsidRDefault="00C56CD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185B79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3F4F" w14:paraId="53E5C57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20AF3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EE9C0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43F4F" w14:paraId="1662867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D4394C" w14:textId="77777777" w:rsidR="00ED54E0" w:rsidRPr="009239F7" w:rsidRDefault="00C56CD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287C549" wp14:editId="3DA8664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87260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A6E9C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43F4F" w14:paraId="7B2AECC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CCD4D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0E7853" w14:textId="77777777" w:rsidR="009239F7" w:rsidRPr="002F6A28" w:rsidRDefault="00C56CD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G/TBT/N/PHL/301</w:t>
          </w:r>
          <w:bookmarkEnd w:id="45"/>
        </w:p>
      </w:tc>
    </w:tr>
    <w:tr w:rsidR="00543F4F" w14:paraId="45DEF28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CA8C5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7613B5" w14:textId="1DB145F0" w:rsidR="00ED54E0" w:rsidRPr="009239F7" w:rsidRDefault="00BC663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May 2023</w:t>
          </w:r>
        </w:p>
      </w:tc>
    </w:tr>
    <w:tr w:rsidR="00543F4F" w14:paraId="24853F0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09F9FC" w14:textId="07843101" w:rsidR="00ED54E0" w:rsidRPr="009239F7" w:rsidRDefault="00C56CD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BC6637">
            <w:rPr>
              <w:color w:val="FF0000"/>
              <w:szCs w:val="16"/>
            </w:rPr>
            <w:t>23-</w:t>
          </w:r>
          <w:r w:rsidR="000C26C5">
            <w:rPr>
              <w:color w:val="FF0000"/>
              <w:szCs w:val="16"/>
            </w:rPr>
            <w:t>3614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C7F816" w14:textId="77777777" w:rsidR="00ED54E0" w:rsidRPr="009239F7" w:rsidRDefault="00C56CD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43F4F" w14:paraId="4C69DC0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CFE3FC" w14:textId="77777777" w:rsidR="00ED54E0" w:rsidRPr="009239F7" w:rsidRDefault="00C56CD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69F85E" w14:textId="77777777" w:rsidR="00ED54E0" w:rsidRPr="002F6A28" w:rsidRDefault="00C56CD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429F28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3B650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B8439C" w:tentative="1">
      <w:start w:val="1"/>
      <w:numFmt w:val="lowerLetter"/>
      <w:lvlText w:val="%2."/>
      <w:lvlJc w:val="left"/>
      <w:pPr>
        <w:ind w:left="1080" w:hanging="360"/>
      </w:pPr>
    </w:lvl>
    <w:lvl w:ilvl="2" w:tplc="4754E4D6" w:tentative="1">
      <w:start w:val="1"/>
      <w:numFmt w:val="lowerRoman"/>
      <w:lvlText w:val="%3."/>
      <w:lvlJc w:val="right"/>
      <w:pPr>
        <w:ind w:left="1800" w:hanging="180"/>
      </w:pPr>
    </w:lvl>
    <w:lvl w:ilvl="3" w:tplc="6BBC8A80" w:tentative="1">
      <w:start w:val="1"/>
      <w:numFmt w:val="decimal"/>
      <w:lvlText w:val="%4."/>
      <w:lvlJc w:val="left"/>
      <w:pPr>
        <w:ind w:left="2520" w:hanging="360"/>
      </w:pPr>
    </w:lvl>
    <w:lvl w:ilvl="4" w:tplc="CEC0398A" w:tentative="1">
      <w:start w:val="1"/>
      <w:numFmt w:val="lowerLetter"/>
      <w:lvlText w:val="%5."/>
      <w:lvlJc w:val="left"/>
      <w:pPr>
        <w:ind w:left="3240" w:hanging="360"/>
      </w:pPr>
    </w:lvl>
    <w:lvl w:ilvl="5" w:tplc="D990EC92" w:tentative="1">
      <w:start w:val="1"/>
      <w:numFmt w:val="lowerRoman"/>
      <w:lvlText w:val="%6."/>
      <w:lvlJc w:val="right"/>
      <w:pPr>
        <w:ind w:left="3960" w:hanging="180"/>
      </w:pPr>
    </w:lvl>
    <w:lvl w:ilvl="6" w:tplc="6568E7BE" w:tentative="1">
      <w:start w:val="1"/>
      <w:numFmt w:val="decimal"/>
      <w:lvlText w:val="%7."/>
      <w:lvlJc w:val="left"/>
      <w:pPr>
        <w:ind w:left="4680" w:hanging="360"/>
      </w:pPr>
    </w:lvl>
    <w:lvl w:ilvl="7" w:tplc="16C85E36" w:tentative="1">
      <w:start w:val="1"/>
      <w:numFmt w:val="lowerLetter"/>
      <w:lvlText w:val="%8."/>
      <w:lvlJc w:val="left"/>
      <w:pPr>
        <w:ind w:left="5400" w:hanging="360"/>
      </w:pPr>
    </w:lvl>
    <w:lvl w:ilvl="8" w:tplc="CB8683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6CACD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E0C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66A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F221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02D1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46F0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2E86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1063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7CF9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66241081">
    <w:abstractNumId w:val="9"/>
  </w:num>
  <w:num w:numId="2" w16cid:durableId="1650133909">
    <w:abstractNumId w:val="7"/>
  </w:num>
  <w:num w:numId="3" w16cid:durableId="2008435904">
    <w:abstractNumId w:val="6"/>
  </w:num>
  <w:num w:numId="4" w16cid:durableId="1582789068">
    <w:abstractNumId w:val="5"/>
  </w:num>
  <w:num w:numId="5" w16cid:durableId="1100760127">
    <w:abstractNumId w:val="4"/>
  </w:num>
  <w:num w:numId="6" w16cid:durableId="371417292">
    <w:abstractNumId w:val="12"/>
  </w:num>
  <w:num w:numId="7" w16cid:durableId="1322658437">
    <w:abstractNumId w:val="11"/>
  </w:num>
  <w:num w:numId="8" w16cid:durableId="1312252889">
    <w:abstractNumId w:val="10"/>
  </w:num>
  <w:num w:numId="9" w16cid:durableId="2037542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044227">
    <w:abstractNumId w:val="13"/>
  </w:num>
  <w:num w:numId="11" w16cid:durableId="301735677">
    <w:abstractNumId w:val="8"/>
  </w:num>
  <w:num w:numId="12" w16cid:durableId="327446177">
    <w:abstractNumId w:val="3"/>
  </w:num>
  <w:num w:numId="13" w16cid:durableId="200867862">
    <w:abstractNumId w:val="2"/>
  </w:num>
  <w:num w:numId="14" w16cid:durableId="1047490343">
    <w:abstractNumId w:val="1"/>
  </w:num>
  <w:num w:numId="15" w16cid:durableId="367418679">
    <w:abstractNumId w:val="0"/>
  </w:num>
  <w:num w:numId="16" w16cid:durableId="1779250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299B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C26C5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820C8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0533"/>
    <w:rsid w:val="0041584A"/>
    <w:rsid w:val="004423A4"/>
    <w:rsid w:val="00467032"/>
    <w:rsid w:val="0046754A"/>
    <w:rsid w:val="00473B57"/>
    <w:rsid w:val="0048173D"/>
    <w:rsid w:val="004A23F8"/>
    <w:rsid w:val="004C27A4"/>
    <w:rsid w:val="004C54C0"/>
    <w:rsid w:val="004E51B2"/>
    <w:rsid w:val="004F203A"/>
    <w:rsid w:val="005104AF"/>
    <w:rsid w:val="005336B8"/>
    <w:rsid w:val="00533DC1"/>
    <w:rsid w:val="0054317D"/>
    <w:rsid w:val="00543F4F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64E7A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C6637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56CD2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39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rr@fda.gov.ph" TargetMode="External"/><Relationship Id="rId13" Type="http://schemas.openxmlformats.org/officeDocument/2006/relationships/hyperlink" Target="http://www.bps.dti.gov.ph" TargetMode="External"/><Relationship Id="rId18" Type="http://schemas.openxmlformats.org/officeDocument/2006/relationships/hyperlink" Target="https://members.wto.org/crnattachments/2023/TBT/PHL/23_09835_03_e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BPS@dti.gov.ph" TargetMode="External"/><Relationship Id="rId17" Type="http://schemas.openxmlformats.org/officeDocument/2006/relationships/hyperlink" Target="https://members.wto.org/crnattachments/2023/TBT/PHL/23_09835_02_e.pd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embers.wto.org/crnattachments/2023/TBT/PHL/23_09835_01_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PS@dti.gov.ph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members.wto.org/crnattachments/2023/TBT/PHL/23_09835_00_e.pdf" TargetMode="External"/><Relationship Id="rId23" Type="http://schemas.openxmlformats.org/officeDocument/2006/relationships/footer" Target="footer2.xml"/><Relationship Id="rId10" Type="http://schemas.openxmlformats.org/officeDocument/2006/relationships/hyperlink" Target="mailto:ojolaurenana@fda.gov.ph" TargetMode="External"/><Relationship Id="rId19" Type="http://schemas.openxmlformats.org/officeDocument/2006/relationships/hyperlink" Target="https://members.wto.org/crnattachments/2023/TBT/PHL/23_09835_04_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vdpinion@fda.gov.ph" TargetMode="External"/><Relationship Id="rId14" Type="http://schemas.openxmlformats.org/officeDocument/2006/relationships/hyperlink" Target="https://www.fda.gov.ph/draft-for-comments-guidelines-on-the-development-of-a-risk-management-plan-for-food-manufacturers-repackers-traders-and-distributor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b0f6c423-fb9b-4671-b6e2-dae358beb2e0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6622755-E992-49E3-88E3-68BA2F78E91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513</Words>
  <Characters>3532</Characters>
  <Application>Microsoft Office Word</Application>
  <DocSecurity>0</DocSecurity>
  <Lines>98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2023-05-26T08:52:00Z</dcterms:created>
  <dcterms:modified xsi:type="dcterms:W3CDTF">2023-05-26T09:15:00Z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b0f6c423-fb9b-4671-b6e2-dae358beb2e0</vt:lpwstr>
  </property>
  <property fmtid="{D5CDD505-2E9C-101B-9397-08002B2CF9AE}" pid="4" name="WTOCLASSIFICATION">
    <vt:lpwstr>WTO OFFICIAL</vt:lpwstr>
  </property>
</Properties>
</file>