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ADD3" w14:textId="77777777" w:rsidR="009239F7" w:rsidRPr="002F6A28" w:rsidRDefault="004A570E" w:rsidP="002F6A28">
      <w:pPr>
        <w:pStyle w:val="Title"/>
        <w:rPr>
          <w:caps w:val="0"/>
          <w:kern w:val="0"/>
        </w:rPr>
      </w:pPr>
      <w:r w:rsidRPr="002F6A28">
        <w:rPr>
          <w:caps w:val="0"/>
          <w:kern w:val="0"/>
        </w:rPr>
        <w:t>NOTIFICATION</w:t>
      </w:r>
    </w:p>
    <w:p w14:paraId="43BE6187" w14:textId="77777777" w:rsidR="009239F7" w:rsidRPr="002F6A28" w:rsidRDefault="004A570E" w:rsidP="002F6A28">
      <w:pPr>
        <w:jc w:val="center"/>
      </w:pPr>
      <w:r w:rsidRPr="002F6A28">
        <w:t>The following notification is being circulated in accordance with Article 10.6</w:t>
      </w:r>
    </w:p>
    <w:p w14:paraId="79B044D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75C72" w14:paraId="462993DF" w14:textId="77777777" w:rsidTr="0069259F">
        <w:tc>
          <w:tcPr>
            <w:tcW w:w="713" w:type="dxa"/>
            <w:tcBorders>
              <w:bottom w:val="single" w:sz="6" w:space="0" w:color="auto"/>
            </w:tcBorders>
            <w:shd w:val="clear" w:color="auto" w:fill="auto"/>
          </w:tcPr>
          <w:p w14:paraId="7A4DF346" w14:textId="77777777" w:rsidR="00F85C99" w:rsidRPr="002F6A28" w:rsidRDefault="004A570E" w:rsidP="002F6A28">
            <w:pPr>
              <w:spacing w:before="120" w:after="120"/>
              <w:jc w:val="left"/>
            </w:pPr>
            <w:r w:rsidRPr="002F6A28">
              <w:rPr>
                <w:b/>
              </w:rPr>
              <w:t>1.</w:t>
            </w:r>
          </w:p>
        </w:tc>
        <w:tc>
          <w:tcPr>
            <w:tcW w:w="8546" w:type="dxa"/>
            <w:tcBorders>
              <w:bottom w:val="single" w:sz="6" w:space="0" w:color="auto"/>
            </w:tcBorders>
            <w:shd w:val="clear" w:color="auto" w:fill="auto"/>
          </w:tcPr>
          <w:p w14:paraId="1B7AB859" w14:textId="77777777" w:rsidR="00F85C99" w:rsidRPr="002F6A28" w:rsidRDefault="004A570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4DFEE1CF" w14:textId="77777777" w:rsidR="00F85C99" w:rsidRPr="002F6A28" w:rsidRDefault="004A570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75C72" w14:paraId="5BB8D139" w14:textId="77777777" w:rsidTr="0069259F">
        <w:tc>
          <w:tcPr>
            <w:tcW w:w="713" w:type="dxa"/>
            <w:tcBorders>
              <w:top w:val="single" w:sz="6" w:space="0" w:color="auto"/>
              <w:bottom w:val="single" w:sz="6" w:space="0" w:color="auto"/>
            </w:tcBorders>
            <w:shd w:val="clear" w:color="auto" w:fill="auto"/>
          </w:tcPr>
          <w:p w14:paraId="441AAB67" w14:textId="77777777" w:rsidR="00F85C99" w:rsidRPr="002F6A28" w:rsidRDefault="004A570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2E5CA4" w14:textId="77777777" w:rsidR="00F85C99" w:rsidRPr="002F6A28" w:rsidRDefault="004A570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3A4F1B1" w14:textId="77777777" w:rsidR="00EE3A11" w:rsidRPr="00C379C8" w:rsidRDefault="004A570E" w:rsidP="00155128">
            <w:r w:rsidRPr="00C379C8">
              <w:t>DR. SAMUEL A. ZACATE</w:t>
            </w:r>
          </w:p>
          <w:p w14:paraId="49D905A4" w14:textId="77777777" w:rsidR="00EE3A11" w:rsidRPr="00C379C8" w:rsidRDefault="004A570E" w:rsidP="00155128">
            <w:r w:rsidRPr="00C379C8">
              <w:t>Director General</w:t>
            </w:r>
          </w:p>
          <w:p w14:paraId="25BA4576" w14:textId="77777777" w:rsidR="00EE3A11" w:rsidRPr="00C379C8" w:rsidRDefault="004A570E" w:rsidP="00155128">
            <w:r w:rsidRPr="00C379C8">
              <w:t>Food and Drug Administration</w:t>
            </w:r>
          </w:p>
          <w:p w14:paraId="76079462" w14:textId="77777777" w:rsidR="00EE3A11" w:rsidRPr="00C379C8" w:rsidRDefault="004A570E" w:rsidP="00155128">
            <w:pPr>
              <w:spacing w:after="120"/>
            </w:pPr>
            <w:r w:rsidRPr="00C379C8">
              <w:t>DEPARTMENT OF HEALTH</w:t>
            </w:r>
            <w:bookmarkEnd w:id="5"/>
          </w:p>
          <w:p w14:paraId="1BD46F9C" w14:textId="77777777" w:rsidR="00F85C99" w:rsidRPr="002F6A28" w:rsidRDefault="004A570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FCA7ED3" w14:textId="77777777" w:rsidR="00AC6C6E" w:rsidRPr="004A570E" w:rsidRDefault="004A570E" w:rsidP="00AA646C">
            <w:pPr>
              <w:rPr>
                <w:lang w:val="es-ES"/>
              </w:rPr>
            </w:pPr>
            <w:r w:rsidRPr="004A570E">
              <w:rPr>
                <w:lang w:val="es-ES"/>
              </w:rPr>
              <w:t>PILAR MARILYN P. PAGAYUNAN</w:t>
            </w:r>
          </w:p>
          <w:p w14:paraId="5670459C" w14:textId="77777777" w:rsidR="00AC6C6E" w:rsidRPr="004A570E" w:rsidRDefault="004A570E" w:rsidP="00AA646C">
            <w:pPr>
              <w:rPr>
                <w:lang w:val="es-ES"/>
              </w:rPr>
            </w:pPr>
            <w:r w:rsidRPr="004A570E">
              <w:rPr>
                <w:lang w:val="es-ES"/>
              </w:rPr>
              <w:t>Director IV</w:t>
            </w:r>
          </w:p>
          <w:p w14:paraId="2C2B4D29" w14:textId="77777777" w:rsidR="00AC6C6E" w:rsidRPr="00C379C8" w:rsidRDefault="004A570E" w:rsidP="00AA646C">
            <w:proofErr w:type="spellStart"/>
            <w:r w:rsidRPr="00C379C8">
              <w:t>Center</w:t>
            </w:r>
            <w:proofErr w:type="spellEnd"/>
            <w:r w:rsidRPr="00C379C8">
              <w:t xml:space="preserve"> for Food Regulation and Research (CFRR)</w:t>
            </w:r>
          </w:p>
          <w:p w14:paraId="143BEF6B" w14:textId="77777777" w:rsidR="00AC6C6E" w:rsidRPr="00C379C8" w:rsidRDefault="004A570E" w:rsidP="00AA646C">
            <w:r w:rsidRPr="00C379C8">
              <w:t>Food and Drug Administration</w:t>
            </w:r>
          </w:p>
          <w:p w14:paraId="5A5CA753" w14:textId="77777777" w:rsidR="00AC6C6E" w:rsidRPr="00C379C8" w:rsidRDefault="004A570E" w:rsidP="00AA646C">
            <w:r w:rsidRPr="00C379C8">
              <w:t>DEPARTMENT OF HEALTH</w:t>
            </w:r>
          </w:p>
          <w:p w14:paraId="2F8BF19F" w14:textId="77777777" w:rsidR="00AC6C6E" w:rsidRPr="00C379C8" w:rsidRDefault="004A570E" w:rsidP="00AA646C">
            <w:r w:rsidRPr="00C379C8">
              <w:t xml:space="preserve">Email: </w:t>
            </w:r>
            <w:hyperlink r:id="rId7" w:history="1">
              <w:r w:rsidRPr="00C379C8">
                <w:rPr>
                  <w:color w:val="0000FF"/>
                  <w:u w:val="single"/>
                </w:rPr>
                <w:t>cfrr@fda.gov.ph</w:t>
              </w:r>
            </w:hyperlink>
            <w:r w:rsidRPr="00C379C8">
              <w:t xml:space="preserve">; </w:t>
            </w:r>
            <w:hyperlink r:id="rId8" w:history="1">
              <w:r w:rsidRPr="00C379C8">
                <w:rPr>
                  <w:color w:val="0000FF"/>
                  <w:u w:val="single"/>
                </w:rPr>
                <w:t>mvdpinion@fda.gov.ph</w:t>
              </w:r>
            </w:hyperlink>
            <w:r w:rsidRPr="00C379C8">
              <w:t xml:space="preserve">; </w:t>
            </w:r>
            <w:hyperlink r:id="rId9" w:history="1">
              <w:r w:rsidRPr="00C379C8">
                <w:rPr>
                  <w:color w:val="0000FF"/>
                  <w:u w:val="single"/>
                </w:rPr>
                <w:t>gapascual@fda.gov.ph</w:t>
              </w:r>
            </w:hyperlink>
            <w:r w:rsidRPr="00C379C8">
              <w:t xml:space="preserve">; </w:t>
            </w:r>
            <w:hyperlink r:id="rId10" w:history="1">
              <w:r w:rsidRPr="00C379C8">
                <w:rPr>
                  <w:color w:val="0000FF"/>
                  <w:u w:val="single"/>
                </w:rPr>
                <w:t>BPS@dti.gov.ph</w:t>
              </w:r>
            </w:hyperlink>
          </w:p>
          <w:p w14:paraId="26C12BC4" w14:textId="77777777" w:rsidR="00AC6C6E" w:rsidRPr="00C379C8" w:rsidRDefault="004A570E" w:rsidP="00AA646C">
            <w:pPr>
              <w:spacing w:after="120"/>
            </w:pPr>
            <w:r w:rsidRPr="00C379C8">
              <w:t>www.fda.gov.ph</w:t>
            </w:r>
            <w:bookmarkEnd w:id="7"/>
          </w:p>
        </w:tc>
      </w:tr>
      <w:tr w:rsidR="00975C72" w14:paraId="7282895C" w14:textId="77777777" w:rsidTr="0069259F">
        <w:tc>
          <w:tcPr>
            <w:tcW w:w="713" w:type="dxa"/>
            <w:tcBorders>
              <w:top w:val="single" w:sz="6" w:space="0" w:color="auto"/>
              <w:bottom w:val="single" w:sz="6" w:space="0" w:color="auto"/>
            </w:tcBorders>
            <w:shd w:val="clear" w:color="auto" w:fill="auto"/>
          </w:tcPr>
          <w:p w14:paraId="5C3F5B6F" w14:textId="77777777" w:rsidR="00F85C99" w:rsidRPr="002F6A28" w:rsidRDefault="004A570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5A3A877" w14:textId="77777777" w:rsidR="00F85C99" w:rsidRPr="0058336F" w:rsidRDefault="004A570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75C72" w14:paraId="11BFC344" w14:textId="77777777" w:rsidTr="0069259F">
        <w:tc>
          <w:tcPr>
            <w:tcW w:w="713" w:type="dxa"/>
            <w:tcBorders>
              <w:top w:val="single" w:sz="6" w:space="0" w:color="auto"/>
              <w:bottom w:val="single" w:sz="6" w:space="0" w:color="auto"/>
            </w:tcBorders>
            <w:shd w:val="clear" w:color="auto" w:fill="auto"/>
          </w:tcPr>
          <w:p w14:paraId="14DC8E1A" w14:textId="77777777" w:rsidR="00F85C99" w:rsidRPr="002F6A28" w:rsidRDefault="004A570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C4442B3" w14:textId="77777777" w:rsidR="00F85C99" w:rsidRPr="002F6A28" w:rsidRDefault="004A570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 TECHNOLOGY (ICS code(s): 67)</w:t>
            </w:r>
            <w:bookmarkEnd w:id="22"/>
          </w:p>
        </w:tc>
      </w:tr>
      <w:tr w:rsidR="00975C72" w14:paraId="18CA7E92" w14:textId="77777777" w:rsidTr="0069259F">
        <w:tc>
          <w:tcPr>
            <w:tcW w:w="713" w:type="dxa"/>
            <w:tcBorders>
              <w:top w:val="single" w:sz="6" w:space="0" w:color="auto"/>
              <w:bottom w:val="single" w:sz="6" w:space="0" w:color="auto"/>
            </w:tcBorders>
            <w:shd w:val="clear" w:color="auto" w:fill="auto"/>
          </w:tcPr>
          <w:p w14:paraId="04B2D376" w14:textId="77777777" w:rsidR="00F85C99" w:rsidRPr="002F6A28" w:rsidRDefault="004A570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B66FB7B" w14:textId="77777777" w:rsidR="00F85C99" w:rsidRPr="002F6A28" w:rsidRDefault="004A570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FDA Circular on "Guidelines on the Adoption of 2015 Philippine Dietary Reference Intakes (PDRI) for Declaration of Nutrition Information on the Labels Repealing Bureau Circular No. 16 s.2005 entitled "Adopting the 2002 Recommended Energy and Nutrient Intakes as the New Dietary Standard""; (9 page(s), in English)</w:t>
            </w:r>
            <w:bookmarkEnd w:id="24"/>
          </w:p>
        </w:tc>
      </w:tr>
      <w:tr w:rsidR="00975C72" w14:paraId="00F9B448" w14:textId="77777777" w:rsidTr="0069259F">
        <w:tc>
          <w:tcPr>
            <w:tcW w:w="713" w:type="dxa"/>
            <w:tcBorders>
              <w:top w:val="single" w:sz="6" w:space="0" w:color="auto"/>
              <w:bottom w:val="single" w:sz="6" w:space="0" w:color="auto"/>
            </w:tcBorders>
            <w:shd w:val="clear" w:color="auto" w:fill="auto"/>
          </w:tcPr>
          <w:p w14:paraId="2B665532" w14:textId="77777777" w:rsidR="00F85C99" w:rsidRPr="002F6A28" w:rsidRDefault="004A570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FDF34CF" w14:textId="77777777" w:rsidR="00F85C99" w:rsidRPr="002F6A28" w:rsidRDefault="004A570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Circular aims to update the reference of dietary standard used in processed food products.</w:t>
            </w:r>
            <w:bookmarkEnd w:id="26"/>
          </w:p>
        </w:tc>
      </w:tr>
      <w:tr w:rsidR="00975C72" w14:paraId="2AF22E59" w14:textId="77777777" w:rsidTr="0069259F">
        <w:tc>
          <w:tcPr>
            <w:tcW w:w="713" w:type="dxa"/>
            <w:tcBorders>
              <w:top w:val="single" w:sz="6" w:space="0" w:color="auto"/>
              <w:bottom w:val="single" w:sz="6" w:space="0" w:color="auto"/>
            </w:tcBorders>
            <w:shd w:val="clear" w:color="auto" w:fill="auto"/>
          </w:tcPr>
          <w:p w14:paraId="0685E1C9" w14:textId="77777777" w:rsidR="00F85C99" w:rsidRPr="002F6A28" w:rsidRDefault="004A570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9339544" w14:textId="77777777" w:rsidR="00F85C99" w:rsidRPr="002F6A28" w:rsidRDefault="004A570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w:t>
            </w:r>
            <w:bookmarkEnd w:id="28"/>
          </w:p>
        </w:tc>
      </w:tr>
      <w:tr w:rsidR="00975C72" w14:paraId="138904CE" w14:textId="77777777" w:rsidTr="0069259F">
        <w:tc>
          <w:tcPr>
            <w:tcW w:w="713" w:type="dxa"/>
            <w:tcBorders>
              <w:top w:val="single" w:sz="6" w:space="0" w:color="auto"/>
              <w:bottom w:val="single" w:sz="6" w:space="0" w:color="auto"/>
            </w:tcBorders>
            <w:shd w:val="clear" w:color="auto" w:fill="auto"/>
          </w:tcPr>
          <w:p w14:paraId="27E8E25A" w14:textId="77777777" w:rsidR="00F85C99" w:rsidRPr="002F6A28" w:rsidRDefault="004A570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C405E41" w14:textId="77777777" w:rsidR="00072B36" w:rsidRPr="002F6A28" w:rsidRDefault="004A570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C6CA8FF" w14:textId="77777777" w:rsidR="00F85C99" w:rsidRPr="002F6A28" w:rsidRDefault="004A570E" w:rsidP="009E75ED">
            <w:pPr>
              <w:numPr>
                <w:ilvl w:val="0"/>
                <w:numId w:val="16"/>
              </w:numPr>
              <w:spacing w:before="120" w:after="120"/>
              <w:ind w:left="1156"/>
            </w:pPr>
            <w:bookmarkStart w:id="30" w:name="sps9a"/>
            <w:r w:rsidRPr="002F6A28">
              <w:t>Bureau Circular No. 16 s.2005 "Adopting the 2002 Recommended Energy and Nutrient Intakes as the New Dietary Standard""</w:t>
            </w:r>
          </w:p>
          <w:p w14:paraId="2F9C201F" w14:textId="77777777" w:rsidR="00F85C99" w:rsidRPr="002F6A28" w:rsidRDefault="004A570E" w:rsidP="009E75ED">
            <w:pPr>
              <w:numPr>
                <w:ilvl w:val="0"/>
                <w:numId w:val="16"/>
              </w:numPr>
              <w:spacing w:before="120" w:after="120"/>
              <w:ind w:left="1156"/>
            </w:pPr>
            <w:r w:rsidRPr="002F6A28">
              <w:lastRenderedPageBreak/>
              <w:t>2015 Philippine Dietary Reference Intakes (PDRI)</w:t>
            </w:r>
            <w:bookmarkEnd w:id="30"/>
          </w:p>
        </w:tc>
      </w:tr>
      <w:tr w:rsidR="00975C72" w14:paraId="0882DE7C" w14:textId="77777777" w:rsidTr="00AE6CC8">
        <w:trPr>
          <w:cantSplit/>
        </w:trPr>
        <w:tc>
          <w:tcPr>
            <w:tcW w:w="713" w:type="dxa"/>
            <w:tcBorders>
              <w:top w:val="single" w:sz="6" w:space="0" w:color="auto"/>
              <w:bottom w:val="single" w:sz="6" w:space="0" w:color="auto"/>
            </w:tcBorders>
            <w:shd w:val="clear" w:color="auto" w:fill="auto"/>
          </w:tcPr>
          <w:p w14:paraId="0A8A0784" w14:textId="77777777" w:rsidR="00EE3A11" w:rsidRPr="002F6A28" w:rsidRDefault="004A570E"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C4EFAAA" w14:textId="77777777" w:rsidR="00EE3A11" w:rsidRPr="002F6A28" w:rsidRDefault="004A570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CF32FF0" w14:textId="77777777" w:rsidR="00EE3A11" w:rsidRPr="002F6A28" w:rsidRDefault="004A570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 xml:space="preserve">Fifteen (15) days after its publication in the Official Gazette or in any newspaper of general circulation and upon filing with the University of the Philippines Law </w:t>
            </w:r>
            <w:proofErr w:type="spellStart"/>
            <w:r w:rsidRPr="00C379C8">
              <w:t>Center</w:t>
            </w:r>
            <w:proofErr w:type="spellEnd"/>
            <w:r w:rsidRPr="00C379C8">
              <w:t xml:space="preserve"> Office of the National Administrative Register.</w:t>
            </w:r>
            <w:bookmarkEnd w:id="36"/>
          </w:p>
        </w:tc>
      </w:tr>
      <w:tr w:rsidR="00975C72" w14:paraId="1496F8BC" w14:textId="77777777" w:rsidTr="0069259F">
        <w:tc>
          <w:tcPr>
            <w:tcW w:w="713" w:type="dxa"/>
            <w:tcBorders>
              <w:top w:val="single" w:sz="6" w:space="0" w:color="auto"/>
              <w:bottom w:val="single" w:sz="6" w:space="0" w:color="auto"/>
            </w:tcBorders>
            <w:shd w:val="clear" w:color="auto" w:fill="auto"/>
          </w:tcPr>
          <w:p w14:paraId="1F9DFBCA" w14:textId="77777777" w:rsidR="00F85C99" w:rsidRPr="002F6A28" w:rsidRDefault="004A570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AD12577" w14:textId="77777777" w:rsidR="00F85C99" w:rsidRPr="002F6A28" w:rsidRDefault="004A570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21 March 2023</w:t>
            </w:r>
            <w:bookmarkEnd w:id="38"/>
          </w:p>
        </w:tc>
      </w:tr>
      <w:tr w:rsidR="00975C72" w14:paraId="45A368B0" w14:textId="77777777" w:rsidTr="0069259F">
        <w:tc>
          <w:tcPr>
            <w:tcW w:w="713" w:type="dxa"/>
            <w:tcBorders>
              <w:top w:val="single" w:sz="6" w:space="0" w:color="auto"/>
            </w:tcBorders>
            <w:shd w:val="clear" w:color="auto" w:fill="auto"/>
          </w:tcPr>
          <w:p w14:paraId="7ED1081A" w14:textId="77777777" w:rsidR="00F85C99" w:rsidRPr="002F6A28" w:rsidRDefault="004A570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430DC69" w14:textId="77777777" w:rsidR="00F85C99" w:rsidRPr="002F6A28" w:rsidRDefault="004A570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1847180" w14:textId="77777777" w:rsidR="00EE3A11" w:rsidRPr="00A12DDE" w:rsidRDefault="004A570E" w:rsidP="00B16145">
            <w:pPr>
              <w:keepNext/>
              <w:keepLines/>
              <w:rPr>
                <w:bCs/>
              </w:rPr>
            </w:pPr>
            <w:r w:rsidRPr="00A12DDE">
              <w:rPr>
                <w:bCs/>
              </w:rPr>
              <w:t xml:space="preserve">Mr. Neil P. </w:t>
            </w:r>
            <w:proofErr w:type="spellStart"/>
            <w:r w:rsidRPr="00A12DDE">
              <w:rPr>
                <w:bCs/>
              </w:rPr>
              <w:t>Catajay</w:t>
            </w:r>
            <w:proofErr w:type="spellEnd"/>
          </w:p>
          <w:p w14:paraId="61030EAB" w14:textId="77777777" w:rsidR="00EE3A11" w:rsidRPr="00A12DDE" w:rsidRDefault="004A570E" w:rsidP="00B16145">
            <w:pPr>
              <w:keepNext/>
              <w:keepLines/>
              <w:rPr>
                <w:bCs/>
              </w:rPr>
            </w:pPr>
            <w:r w:rsidRPr="00A12DDE">
              <w:rPr>
                <w:bCs/>
              </w:rPr>
              <w:t>Director</w:t>
            </w:r>
          </w:p>
          <w:p w14:paraId="4D56A7C9" w14:textId="77777777" w:rsidR="00EE3A11" w:rsidRPr="00A12DDE" w:rsidRDefault="004A570E" w:rsidP="00B16145">
            <w:pPr>
              <w:keepNext/>
              <w:keepLines/>
              <w:rPr>
                <w:bCs/>
              </w:rPr>
            </w:pPr>
            <w:r w:rsidRPr="00A12DDE">
              <w:rPr>
                <w:bCs/>
              </w:rPr>
              <w:t>Bureau of Philippine Standards</w:t>
            </w:r>
          </w:p>
          <w:p w14:paraId="106FB8EB" w14:textId="77777777" w:rsidR="00EE3A11" w:rsidRPr="00A12DDE" w:rsidRDefault="004A570E" w:rsidP="00B16145">
            <w:pPr>
              <w:keepNext/>
              <w:keepLines/>
              <w:rPr>
                <w:bCs/>
              </w:rPr>
            </w:pPr>
            <w:r w:rsidRPr="00A12DDE">
              <w:rPr>
                <w:bCs/>
              </w:rPr>
              <w:t>Department of Trade and Industry</w:t>
            </w:r>
          </w:p>
          <w:p w14:paraId="2915BC41" w14:textId="77777777" w:rsidR="00EE3A11" w:rsidRPr="00A12DDE" w:rsidRDefault="004A570E" w:rsidP="00B16145">
            <w:pPr>
              <w:keepNext/>
              <w:keepLines/>
              <w:rPr>
                <w:bCs/>
              </w:rPr>
            </w:pPr>
            <w:r w:rsidRPr="00A12DDE">
              <w:rPr>
                <w:bCs/>
              </w:rPr>
              <w:t>3F Trade and Industry Building</w:t>
            </w:r>
          </w:p>
          <w:p w14:paraId="41E3DBE2" w14:textId="77777777" w:rsidR="00EE3A11" w:rsidRPr="00A12DDE" w:rsidRDefault="004A570E" w:rsidP="00B16145">
            <w:pPr>
              <w:keepNext/>
              <w:keepLines/>
              <w:rPr>
                <w:bCs/>
              </w:rPr>
            </w:pPr>
            <w:r w:rsidRPr="00A12DDE">
              <w:rPr>
                <w:bCs/>
              </w:rPr>
              <w:t>361 Sen. Gil Puyat Avenue</w:t>
            </w:r>
          </w:p>
          <w:p w14:paraId="5D7757DF" w14:textId="77777777" w:rsidR="00EE3A11" w:rsidRPr="00A12DDE" w:rsidRDefault="004A570E" w:rsidP="00B16145">
            <w:pPr>
              <w:keepNext/>
              <w:keepLines/>
              <w:rPr>
                <w:bCs/>
              </w:rPr>
            </w:pPr>
            <w:r w:rsidRPr="00A12DDE">
              <w:rPr>
                <w:bCs/>
              </w:rPr>
              <w:t>Makati City</w:t>
            </w:r>
          </w:p>
          <w:p w14:paraId="4672FFFF" w14:textId="77777777" w:rsidR="00EE3A11" w:rsidRPr="00A12DDE" w:rsidRDefault="004A570E" w:rsidP="00B16145">
            <w:pPr>
              <w:keepNext/>
              <w:keepLines/>
              <w:rPr>
                <w:bCs/>
              </w:rPr>
            </w:pPr>
            <w:r w:rsidRPr="00A12DDE">
              <w:rPr>
                <w:bCs/>
              </w:rPr>
              <w:t>Philippines</w:t>
            </w:r>
          </w:p>
          <w:p w14:paraId="44D3A863" w14:textId="77777777" w:rsidR="00EE3A11" w:rsidRPr="00A12DDE" w:rsidRDefault="004A570E" w:rsidP="00B16145">
            <w:pPr>
              <w:keepNext/>
              <w:keepLines/>
              <w:rPr>
                <w:bCs/>
              </w:rPr>
            </w:pPr>
            <w:r w:rsidRPr="00A12DDE">
              <w:rPr>
                <w:bCs/>
              </w:rPr>
              <w:t>Tel: (632) 751 4700; (632) 7913128</w:t>
            </w:r>
          </w:p>
          <w:p w14:paraId="06EFB423" w14:textId="77777777" w:rsidR="00EE3A11" w:rsidRPr="00A12DDE" w:rsidRDefault="004A570E" w:rsidP="00B16145">
            <w:pPr>
              <w:keepNext/>
              <w:keepLines/>
              <w:rPr>
                <w:bCs/>
              </w:rPr>
            </w:pPr>
            <w:r w:rsidRPr="00A12DDE">
              <w:rPr>
                <w:bCs/>
              </w:rPr>
              <w:t xml:space="preserve">Email: </w:t>
            </w:r>
            <w:hyperlink r:id="rId11" w:history="1">
              <w:r w:rsidRPr="00A12DDE">
                <w:rPr>
                  <w:bCs/>
                  <w:color w:val="0000FF"/>
                  <w:u w:val="single"/>
                </w:rPr>
                <w:t>bps@dti.gov.ph</w:t>
              </w:r>
            </w:hyperlink>
          </w:p>
          <w:p w14:paraId="34DE51D9" w14:textId="77777777" w:rsidR="00EE3A11" w:rsidRPr="00A12DDE" w:rsidRDefault="004A570E" w:rsidP="00B16145">
            <w:pPr>
              <w:keepNext/>
              <w:keepLines/>
              <w:rPr>
                <w:bCs/>
              </w:rPr>
            </w:pPr>
            <w:r w:rsidRPr="00A12DDE">
              <w:rPr>
                <w:bCs/>
              </w:rPr>
              <w:t xml:space="preserve">Website: </w:t>
            </w:r>
            <w:hyperlink r:id="rId12" w:tgtFrame="_blank" w:history="1">
              <w:r w:rsidRPr="00A12DDE">
                <w:rPr>
                  <w:bCs/>
                  <w:color w:val="0000FF"/>
                  <w:u w:val="single"/>
                </w:rPr>
                <w:t>http://www.bps.dti.gov.ph</w:t>
              </w:r>
            </w:hyperlink>
          </w:p>
          <w:p w14:paraId="4FF6AEF9" w14:textId="77777777" w:rsidR="00EE3A11" w:rsidRPr="00A12DDE" w:rsidRDefault="0073710B" w:rsidP="00B16145">
            <w:pPr>
              <w:keepNext/>
              <w:keepLines/>
              <w:pBdr>
                <w:top w:val="none" w:sz="0" w:space="4" w:color="auto"/>
              </w:pBdr>
              <w:spacing w:after="120"/>
              <w:rPr>
                <w:bCs/>
              </w:rPr>
            </w:pPr>
            <w:hyperlink r:id="rId13" w:tgtFrame="_blank" w:history="1">
              <w:r w:rsidR="004A570E" w:rsidRPr="00A12DDE">
                <w:rPr>
                  <w:bCs/>
                  <w:color w:val="0000FF"/>
                  <w:u w:val="single"/>
                </w:rPr>
                <w:t>https://members.wto.org/crnattachments/2023/TBT/PHL/23_0516_00_e.pdf</w:t>
              </w:r>
            </w:hyperlink>
            <w:bookmarkEnd w:id="42"/>
          </w:p>
        </w:tc>
      </w:tr>
    </w:tbl>
    <w:p w14:paraId="28F406CC"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411E" w14:textId="77777777" w:rsidR="009272D9" w:rsidRDefault="004A570E">
      <w:r>
        <w:separator/>
      </w:r>
    </w:p>
  </w:endnote>
  <w:endnote w:type="continuationSeparator" w:id="0">
    <w:p w14:paraId="46A7D15C" w14:textId="77777777" w:rsidR="009272D9" w:rsidRDefault="004A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87D3" w14:textId="77777777" w:rsidR="009239F7" w:rsidRPr="002F6A28" w:rsidRDefault="004A570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8FD3" w14:textId="77777777" w:rsidR="009239F7" w:rsidRPr="002F6A28" w:rsidRDefault="004A570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EC1D" w14:textId="77777777" w:rsidR="00EE3A11" w:rsidRPr="002F6A28" w:rsidRDefault="004A570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984D" w14:textId="77777777" w:rsidR="009272D9" w:rsidRDefault="004A570E">
      <w:r>
        <w:separator/>
      </w:r>
    </w:p>
  </w:footnote>
  <w:footnote w:type="continuationSeparator" w:id="0">
    <w:p w14:paraId="6C52BA12" w14:textId="77777777" w:rsidR="009272D9" w:rsidRDefault="004A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8D6F" w14:textId="77777777" w:rsidR="009239F7" w:rsidRPr="002F6A28" w:rsidRDefault="004A570E" w:rsidP="009239F7">
    <w:pPr>
      <w:pStyle w:val="Header"/>
      <w:pBdr>
        <w:bottom w:val="single" w:sz="4" w:space="1" w:color="auto"/>
      </w:pBdr>
      <w:tabs>
        <w:tab w:val="clear" w:pos="4513"/>
        <w:tab w:val="clear" w:pos="9027"/>
      </w:tabs>
      <w:jc w:val="center"/>
    </w:pPr>
    <w:proofErr w:type="spellStart"/>
    <w:r w:rsidRPr="002F6A28">
      <w:t>tbtSymbol</w:t>
    </w:r>
    <w:proofErr w:type="spellEnd"/>
  </w:p>
  <w:p w14:paraId="68CCBBAE" w14:textId="77777777" w:rsidR="009239F7" w:rsidRPr="002F6A28" w:rsidRDefault="009239F7" w:rsidP="009239F7">
    <w:pPr>
      <w:pStyle w:val="Header"/>
      <w:pBdr>
        <w:bottom w:val="single" w:sz="4" w:space="1" w:color="auto"/>
      </w:pBdr>
      <w:tabs>
        <w:tab w:val="clear" w:pos="4513"/>
        <w:tab w:val="clear" w:pos="9027"/>
      </w:tabs>
      <w:jc w:val="center"/>
    </w:pPr>
  </w:p>
  <w:p w14:paraId="1148F2AE" w14:textId="77777777" w:rsidR="009239F7" w:rsidRPr="002F6A28" w:rsidRDefault="004A570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92C95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4D16" w14:textId="77777777" w:rsidR="009239F7" w:rsidRPr="002F6A28" w:rsidRDefault="004A570E" w:rsidP="009239F7">
    <w:pPr>
      <w:pStyle w:val="Header"/>
      <w:pBdr>
        <w:bottom w:val="single" w:sz="4" w:space="1" w:color="auto"/>
      </w:pBdr>
      <w:tabs>
        <w:tab w:val="clear" w:pos="4513"/>
        <w:tab w:val="clear" w:pos="9027"/>
      </w:tabs>
      <w:jc w:val="center"/>
    </w:pPr>
    <w:bookmarkStart w:id="43" w:name="spsSymbolHeader"/>
    <w:r w:rsidRPr="002F6A28">
      <w:t>G/TBT/N/PHL/298</w:t>
    </w:r>
    <w:bookmarkEnd w:id="43"/>
  </w:p>
  <w:p w14:paraId="1F3741C0" w14:textId="77777777" w:rsidR="009239F7" w:rsidRPr="002F6A28" w:rsidRDefault="009239F7" w:rsidP="009239F7">
    <w:pPr>
      <w:pStyle w:val="Header"/>
      <w:pBdr>
        <w:bottom w:val="single" w:sz="4" w:space="1" w:color="auto"/>
      </w:pBdr>
      <w:tabs>
        <w:tab w:val="clear" w:pos="4513"/>
        <w:tab w:val="clear" w:pos="9027"/>
      </w:tabs>
      <w:jc w:val="center"/>
    </w:pPr>
  </w:p>
  <w:p w14:paraId="25E226DD" w14:textId="77777777" w:rsidR="009239F7" w:rsidRPr="002F6A28" w:rsidRDefault="004A570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FF9A40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5C72" w14:paraId="0863B0B2" w14:textId="77777777" w:rsidTr="008612A9">
      <w:trPr>
        <w:trHeight w:val="240"/>
        <w:jc w:val="center"/>
      </w:trPr>
      <w:tc>
        <w:tcPr>
          <w:tcW w:w="3794" w:type="dxa"/>
          <w:shd w:val="clear" w:color="auto" w:fill="FFFFFF"/>
          <w:tcMar>
            <w:left w:w="108" w:type="dxa"/>
            <w:right w:w="108" w:type="dxa"/>
          </w:tcMar>
          <w:vAlign w:val="center"/>
        </w:tcPr>
        <w:p w14:paraId="3F90B27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D1B38ED" w14:textId="77777777" w:rsidR="00ED54E0" w:rsidRPr="009239F7" w:rsidRDefault="00ED54E0" w:rsidP="00B801E9">
          <w:pPr>
            <w:jc w:val="right"/>
            <w:rPr>
              <w:b/>
              <w:color w:val="FF0000"/>
              <w:szCs w:val="16"/>
            </w:rPr>
          </w:pPr>
        </w:p>
      </w:tc>
    </w:tr>
    <w:bookmarkEnd w:id="44"/>
    <w:tr w:rsidR="00975C72" w14:paraId="34355B2C" w14:textId="77777777" w:rsidTr="008612A9">
      <w:trPr>
        <w:trHeight w:val="213"/>
        <w:jc w:val="center"/>
      </w:trPr>
      <w:tc>
        <w:tcPr>
          <w:tcW w:w="3794" w:type="dxa"/>
          <w:vMerge w:val="restart"/>
          <w:shd w:val="clear" w:color="auto" w:fill="FFFFFF"/>
          <w:tcMar>
            <w:left w:w="0" w:type="dxa"/>
            <w:right w:w="0" w:type="dxa"/>
          </w:tcMar>
        </w:tcPr>
        <w:p w14:paraId="737E52E9" w14:textId="77777777" w:rsidR="00ED54E0" w:rsidRPr="009239F7" w:rsidRDefault="004A570E" w:rsidP="00B801E9">
          <w:pPr>
            <w:jc w:val="left"/>
          </w:pPr>
          <w:r>
            <w:rPr>
              <w:noProof/>
              <w:lang w:eastAsia="en-GB"/>
            </w:rPr>
            <w:drawing>
              <wp:inline distT="0" distB="0" distL="0" distR="0" wp14:anchorId="23794978" wp14:editId="7F04361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899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3FA1F7" w14:textId="77777777" w:rsidR="00ED54E0" w:rsidRPr="009239F7" w:rsidRDefault="00ED54E0" w:rsidP="00B801E9">
          <w:pPr>
            <w:jc w:val="right"/>
            <w:rPr>
              <w:b/>
              <w:szCs w:val="16"/>
            </w:rPr>
          </w:pPr>
        </w:p>
      </w:tc>
    </w:tr>
    <w:tr w:rsidR="00975C72" w14:paraId="22B29227" w14:textId="77777777" w:rsidTr="008612A9">
      <w:trPr>
        <w:trHeight w:val="868"/>
        <w:jc w:val="center"/>
      </w:trPr>
      <w:tc>
        <w:tcPr>
          <w:tcW w:w="3794" w:type="dxa"/>
          <w:vMerge/>
          <w:shd w:val="clear" w:color="auto" w:fill="FFFFFF"/>
          <w:tcMar>
            <w:left w:w="108" w:type="dxa"/>
            <w:right w:w="108" w:type="dxa"/>
          </w:tcMar>
        </w:tcPr>
        <w:p w14:paraId="7DF763A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B7C2A3" w14:textId="77777777" w:rsidR="009239F7" w:rsidRPr="002F6A28" w:rsidRDefault="004A570E" w:rsidP="00B801E9">
          <w:pPr>
            <w:jc w:val="right"/>
            <w:rPr>
              <w:b/>
              <w:szCs w:val="16"/>
            </w:rPr>
          </w:pPr>
          <w:bookmarkStart w:id="45" w:name="bmkSymbols"/>
          <w:r w:rsidRPr="002F6A28">
            <w:rPr>
              <w:b/>
              <w:szCs w:val="16"/>
            </w:rPr>
            <w:t>G/TBT/N/PHL/298</w:t>
          </w:r>
          <w:bookmarkEnd w:id="45"/>
        </w:p>
      </w:tc>
    </w:tr>
    <w:tr w:rsidR="00975C72" w14:paraId="606BD1F1" w14:textId="77777777" w:rsidTr="008612A9">
      <w:trPr>
        <w:trHeight w:val="240"/>
        <w:jc w:val="center"/>
      </w:trPr>
      <w:tc>
        <w:tcPr>
          <w:tcW w:w="3794" w:type="dxa"/>
          <w:vMerge/>
          <w:shd w:val="clear" w:color="auto" w:fill="FFFFFF"/>
          <w:tcMar>
            <w:left w:w="108" w:type="dxa"/>
            <w:right w:w="108" w:type="dxa"/>
          </w:tcMar>
          <w:vAlign w:val="center"/>
        </w:tcPr>
        <w:p w14:paraId="379D98B7" w14:textId="77777777" w:rsidR="00ED54E0" w:rsidRPr="009239F7" w:rsidRDefault="00ED54E0" w:rsidP="00B801E9"/>
      </w:tc>
      <w:tc>
        <w:tcPr>
          <w:tcW w:w="5448" w:type="dxa"/>
          <w:gridSpan w:val="2"/>
          <w:shd w:val="clear" w:color="auto" w:fill="FFFFFF"/>
          <w:tcMar>
            <w:left w:w="108" w:type="dxa"/>
            <w:right w:w="108" w:type="dxa"/>
          </w:tcMar>
          <w:vAlign w:val="center"/>
        </w:tcPr>
        <w:p w14:paraId="33F88750" w14:textId="5CC1F3AB" w:rsidR="00ED54E0" w:rsidRPr="009239F7" w:rsidRDefault="004A570E" w:rsidP="00B801E9">
          <w:pPr>
            <w:jc w:val="right"/>
            <w:rPr>
              <w:szCs w:val="16"/>
            </w:rPr>
          </w:pPr>
          <w:bookmarkStart w:id="46" w:name="spsDateDistribution"/>
          <w:bookmarkStart w:id="47" w:name="bmkDate"/>
          <w:bookmarkEnd w:id="46"/>
          <w:bookmarkEnd w:id="47"/>
          <w:r>
            <w:rPr>
              <w:szCs w:val="16"/>
            </w:rPr>
            <w:t>20 January 2023</w:t>
          </w:r>
        </w:p>
      </w:tc>
    </w:tr>
    <w:tr w:rsidR="00975C72" w14:paraId="47AB61E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61E823" w14:textId="25DA85A9" w:rsidR="00ED54E0" w:rsidRPr="009239F7" w:rsidRDefault="004A570E"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73710B">
            <w:rPr>
              <w:color w:val="FF0000"/>
              <w:szCs w:val="16"/>
            </w:rPr>
            <w:t>473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E135B88" w14:textId="77777777" w:rsidR="00ED54E0" w:rsidRPr="009239F7" w:rsidRDefault="004A570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75C72" w14:paraId="34ED50C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D87BC5" w14:textId="77777777" w:rsidR="00ED54E0" w:rsidRPr="009239F7" w:rsidRDefault="004A570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010F0A9" w14:textId="77777777" w:rsidR="00ED54E0" w:rsidRPr="002F6A28" w:rsidRDefault="004A570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F416DF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22CA0E">
      <w:start w:val="1"/>
      <w:numFmt w:val="decimal"/>
      <w:pStyle w:val="SummaryText"/>
      <w:lvlText w:val="%1."/>
      <w:lvlJc w:val="left"/>
      <w:pPr>
        <w:ind w:left="360" w:hanging="360"/>
      </w:pPr>
    </w:lvl>
    <w:lvl w:ilvl="1" w:tplc="1B00561C" w:tentative="1">
      <w:start w:val="1"/>
      <w:numFmt w:val="lowerLetter"/>
      <w:lvlText w:val="%2."/>
      <w:lvlJc w:val="left"/>
      <w:pPr>
        <w:ind w:left="1080" w:hanging="360"/>
      </w:pPr>
    </w:lvl>
    <w:lvl w:ilvl="2" w:tplc="EC12306E" w:tentative="1">
      <w:start w:val="1"/>
      <w:numFmt w:val="lowerRoman"/>
      <w:lvlText w:val="%3."/>
      <w:lvlJc w:val="right"/>
      <w:pPr>
        <w:ind w:left="1800" w:hanging="180"/>
      </w:pPr>
    </w:lvl>
    <w:lvl w:ilvl="3" w:tplc="7C4843CE" w:tentative="1">
      <w:start w:val="1"/>
      <w:numFmt w:val="decimal"/>
      <w:lvlText w:val="%4."/>
      <w:lvlJc w:val="left"/>
      <w:pPr>
        <w:ind w:left="2520" w:hanging="360"/>
      </w:pPr>
    </w:lvl>
    <w:lvl w:ilvl="4" w:tplc="BDF85AF4" w:tentative="1">
      <w:start w:val="1"/>
      <w:numFmt w:val="lowerLetter"/>
      <w:lvlText w:val="%5."/>
      <w:lvlJc w:val="left"/>
      <w:pPr>
        <w:ind w:left="3240" w:hanging="360"/>
      </w:pPr>
    </w:lvl>
    <w:lvl w:ilvl="5" w:tplc="CB0AC8C6" w:tentative="1">
      <w:start w:val="1"/>
      <w:numFmt w:val="lowerRoman"/>
      <w:lvlText w:val="%6."/>
      <w:lvlJc w:val="right"/>
      <w:pPr>
        <w:ind w:left="3960" w:hanging="180"/>
      </w:pPr>
    </w:lvl>
    <w:lvl w:ilvl="6" w:tplc="DD76BA4E" w:tentative="1">
      <w:start w:val="1"/>
      <w:numFmt w:val="decimal"/>
      <w:lvlText w:val="%7."/>
      <w:lvlJc w:val="left"/>
      <w:pPr>
        <w:ind w:left="4680" w:hanging="360"/>
      </w:pPr>
    </w:lvl>
    <w:lvl w:ilvl="7" w:tplc="DC4E53E2" w:tentative="1">
      <w:start w:val="1"/>
      <w:numFmt w:val="lowerLetter"/>
      <w:lvlText w:val="%8."/>
      <w:lvlJc w:val="left"/>
      <w:pPr>
        <w:ind w:left="5400" w:hanging="360"/>
      </w:pPr>
    </w:lvl>
    <w:lvl w:ilvl="8" w:tplc="78C82D4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56ED8B6">
      <w:start w:val="1"/>
      <w:numFmt w:val="bullet"/>
      <w:lvlText w:val=""/>
      <w:lvlJc w:val="left"/>
      <w:pPr>
        <w:ind w:left="720" w:hanging="360"/>
      </w:pPr>
      <w:rPr>
        <w:rFonts w:ascii="Symbol" w:hAnsi="Symbol"/>
      </w:rPr>
    </w:lvl>
    <w:lvl w:ilvl="1" w:tplc="44AAB0CE">
      <w:start w:val="1"/>
      <w:numFmt w:val="bullet"/>
      <w:lvlText w:val="o"/>
      <w:lvlJc w:val="left"/>
      <w:pPr>
        <w:tabs>
          <w:tab w:val="num" w:pos="1440"/>
        </w:tabs>
        <w:ind w:left="1440" w:hanging="360"/>
      </w:pPr>
      <w:rPr>
        <w:rFonts w:ascii="Courier New" w:hAnsi="Courier New"/>
      </w:rPr>
    </w:lvl>
    <w:lvl w:ilvl="2" w:tplc="7C7C3E62">
      <w:start w:val="1"/>
      <w:numFmt w:val="bullet"/>
      <w:lvlText w:val=""/>
      <w:lvlJc w:val="left"/>
      <w:pPr>
        <w:tabs>
          <w:tab w:val="num" w:pos="2160"/>
        </w:tabs>
        <w:ind w:left="2160" w:hanging="360"/>
      </w:pPr>
      <w:rPr>
        <w:rFonts w:ascii="Wingdings" w:hAnsi="Wingdings"/>
      </w:rPr>
    </w:lvl>
    <w:lvl w:ilvl="3" w:tplc="90EC2E84">
      <w:start w:val="1"/>
      <w:numFmt w:val="bullet"/>
      <w:lvlText w:val=""/>
      <w:lvlJc w:val="left"/>
      <w:pPr>
        <w:tabs>
          <w:tab w:val="num" w:pos="2880"/>
        </w:tabs>
        <w:ind w:left="2880" w:hanging="360"/>
      </w:pPr>
      <w:rPr>
        <w:rFonts w:ascii="Symbol" w:hAnsi="Symbol"/>
      </w:rPr>
    </w:lvl>
    <w:lvl w:ilvl="4" w:tplc="D3FABBE6">
      <w:start w:val="1"/>
      <w:numFmt w:val="bullet"/>
      <w:lvlText w:val="o"/>
      <w:lvlJc w:val="left"/>
      <w:pPr>
        <w:tabs>
          <w:tab w:val="num" w:pos="3600"/>
        </w:tabs>
        <w:ind w:left="3600" w:hanging="360"/>
      </w:pPr>
      <w:rPr>
        <w:rFonts w:ascii="Courier New" w:hAnsi="Courier New"/>
      </w:rPr>
    </w:lvl>
    <w:lvl w:ilvl="5" w:tplc="218662CE">
      <w:start w:val="1"/>
      <w:numFmt w:val="bullet"/>
      <w:lvlText w:val=""/>
      <w:lvlJc w:val="left"/>
      <w:pPr>
        <w:tabs>
          <w:tab w:val="num" w:pos="4320"/>
        </w:tabs>
        <w:ind w:left="4320" w:hanging="360"/>
      </w:pPr>
      <w:rPr>
        <w:rFonts w:ascii="Wingdings" w:hAnsi="Wingdings"/>
      </w:rPr>
    </w:lvl>
    <w:lvl w:ilvl="6" w:tplc="DF1489D8">
      <w:start w:val="1"/>
      <w:numFmt w:val="bullet"/>
      <w:lvlText w:val=""/>
      <w:lvlJc w:val="left"/>
      <w:pPr>
        <w:tabs>
          <w:tab w:val="num" w:pos="5040"/>
        </w:tabs>
        <w:ind w:left="5040" w:hanging="360"/>
      </w:pPr>
      <w:rPr>
        <w:rFonts w:ascii="Symbol" w:hAnsi="Symbol"/>
      </w:rPr>
    </w:lvl>
    <w:lvl w:ilvl="7" w:tplc="8570871C">
      <w:start w:val="1"/>
      <w:numFmt w:val="bullet"/>
      <w:lvlText w:val="o"/>
      <w:lvlJc w:val="left"/>
      <w:pPr>
        <w:tabs>
          <w:tab w:val="num" w:pos="5760"/>
        </w:tabs>
        <w:ind w:left="5760" w:hanging="360"/>
      </w:pPr>
      <w:rPr>
        <w:rFonts w:ascii="Courier New" w:hAnsi="Courier New"/>
      </w:rPr>
    </w:lvl>
    <w:lvl w:ilvl="8" w:tplc="B8AC19E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A570E"/>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3710B"/>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272D9"/>
    <w:rsid w:val="00934ABC"/>
    <w:rsid w:val="00955D8A"/>
    <w:rsid w:val="00964F4F"/>
    <w:rsid w:val="00975C72"/>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65FF0"/>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698"/>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D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vdpinion@fda.gov.ph" TargetMode="External"/><Relationship Id="rId13" Type="http://schemas.openxmlformats.org/officeDocument/2006/relationships/hyperlink" Target="https://members.wto.org/crnattachments/2023/TBT/PHL/23_0516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frr@fda.gov.ph" TargetMode="External"/><Relationship Id="rId12" Type="http://schemas.openxmlformats.org/officeDocument/2006/relationships/hyperlink" Target="http://www.bps.dti.gov.p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S@dti.gov.p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PS@dti.gov.p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gapascual@fda.gov.p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2023-01-20T07:44:00Z</dcterms:created>
  <dcterms:modified xsi:type="dcterms:W3CDTF">2023-01-20T08:04:00Z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