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D554" w14:textId="77777777" w:rsidR="002D78C9" w:rsidRDefault="00DA15DE" w:rsidP="00DD3DD7">
      <w:pPr>
        <w:pStyle w:val="Title"/>
      </w:pPr>
      <w:r w:rsidRPr="002F663C">
        <w:t>NOTIFICATION</w:t>
      </w:r>
    </w:p>
    <w:p w14:paraId="507FCDC2" w14:textId="77777777" w:rsidR="002F663C" w:rsidRPr="002F663C" w:rsidRDefault="00DA15DE" w:rsidP="00DD3DD7">
      <w:pPr>
        <w:pStyle w:val="Title3"/>
      </w:pPr>
      <w:r w:rsidRPr="002F663C">
        <w:t>Addendum</w:t>
      </w:r>
    </w:p>
    <w:p w14:paraId="520567F0" w14:textId="77777777" w:rsidR="002F663C" w:rsidRDefault="00DA15D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April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Indonesia</w:t>
      </w:r>
      <w:bookmarkEnd w:id="1"/>
      <w:bookmarkEnd w:id="2"/>
      <w:r w:rsidRPr="002F663C">
        <w:rPr>
          <w:rFonts w:eastAsia="Calibri" w:cs="Times New Roman"/>
        </w:rPr>
        <w:t>.</w:t>
      </w:r>
    </w:p>
    <w:p w14:paraId="34714192" w14:textId="77777777" w:rsidR="001E2E4A" w:rsidRPr="002F663C" w:rsidRDefault="001E2E4A" w:rsidP="001E2E4A">
      <w:pPr>
        <w:rPr>
          <w:rFonts w:eastAsia="Calibri" w:cs="Times New Roman"/>
        </w:rPr>
      </w:pPr>
    </w:p>
    <w:p w14:paraId="77ED60A4" w14:textId="77777777" w:rsidR="002F663C" w:rsidRPr="002F663C" w:rsidRDefault="00DA15DE" w:rsidP="002F663C">
      <w:pPr>
        <w:jc w:val="center"/>
        <w:rPr>
          <w:rFonts w:eastAsia="Calibri" w:cs="Times New Roman"/>
          <w:b/>
        </w:rPr>
      </w:pPr>
      <w:r w:rsidRPr="002F663C">
        <w:rPr>
          <w:rFonts w:eastAsia="Calibri" w:cs="Times New Roman"/>
          <w:b/>
        </w:rPr>
        <w:t>_______________</w:t>
      </w:r>
    </w:p>
    <w:p w14:paraId="68A17547" w14:textId="77777777" w:rsidR="002F663C" w:rsidRDefault="002F663C" w:rsidP="002F663C">
      <w:pPr>
        <w:rPr>
          <w:rFonts w:eastAsia="Calibri" w:cs="Times New Roman"/>
        </w:rPr>
      </w:pPr>
    </w:p>
    <w:p w14:paraId="151D0ED2" w14:textId="77777777" w:rsidR="00C14444" w:rsidRPr="002F663C" w:rsidRDefault="00C14444" w:rsidP="002F663C">
      <w:pPr>
        <w:rPr>
          <w:rFonts w:eastAsia="Calibri" w:cs="Times New Roman"/>
        </w:rPr>
      </w:pPr>
    </w:p>
    <w:p w14:paraId="16CE4298" w14:textId="77777777" w:rsidR="002F663C" w:rsidRPr="002F663C" w:rsidRDefault="00DA15D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 of National Agency of Drug and Food Control (NADFC) Republic of Indonesia on 2D Barcode Application in Drug and Food Control</w:t>
      </w:r>
      <w:bookmarkEnd w:id="3"/>
    </w:p>
    <w:p w14:paraId="01DD6C7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839EC" w14:paraId="746916A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6967090" w14:textId="77777777" w:rsidR="002F663C" w:rsidRPr="002F663C" w:rsidRDefault="00DA15D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839EC" w14:paraId="5E92D276" w14:textId="77777777" w:rsidTr="00E9471B">
        <w:tc>
          <w:tcPr>
            <w:tcW w:w="851" w:type="dxa"/>
            <w:shd w:val="clear" w:color="auto" w:fill="auto"/>
          </w:tcPr>
          <w:p w14:paraId="7E9733C6" w14:textId="77777777" w:rsidR="002F663C" w:rsidRPr="00711F9C" w:rsidRDefault="00DA15D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9AA1FCE" w14:textId="77777777" w:rsidR="002F663C" w:rsidRPr="002F663C" w:rsidRDefault="00DA15D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839EC" w14:paraId="794DFE74" w14:textId="77777777" w:rsidTr="00E9471B">
        <w:tc>
          <w:tcPr>
            <w:tcW w:w="851" w:type="dxa"/>
            <w:shd w:val="clear" w:color="auto" w:fill="auto"/>
          </w:tcPr>
          <w:p w14:paraId="41A0F4A6"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6D660D7" w14:textId="77777777" w:rsidR="002F663C" w:rsidRPr="002F663C" w:rsidRDefault="00DA15D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839EC" w14:paraId="02F93710" w14:textId="77777777" w:rsidTr="00E9471B">
        <w:tc>
          <w:tcPr>
            <w:tcW w:w="851" w:type="dxa"/>
            <w:shd w:val="clear" w:color="auto" w:fill="auto"/>
          </w:tcPr>
          <w:p w14:paraId="4027ACFD"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D2441B2" w14:textId="77777777" w:rsidR="002F663C" w:rsidRPr="002F663C" w:rsidRDefault="00DA15D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839EC" w14:paraId="34E8910C" w14:textId="77777777" w:rsidTr="00E9471B">
        <w:tc>
          <w:tcPr>
            <w:tcW w:w="851" w:type="dxa"/>
            <w:shd w:val="clear" w:color="auto" w:fill="auto"/>
          </w:tcPr>
          <w:p w14:paraId="2DC21BC8"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AB09FA1" w14:textId="77777777" w:rsidR="002F663C" w:rsidRPr="002F663C" w:rsidRDefault="00DA15D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839EC" w14:paraId="22E07611" w14:textId="77777777" w:rsidTr="00E9471B">
        <w:tc>
          <w:tcPr>
            <w:tcW w:w="851" w:type="dxa"/>
            <w:shd w:val="clear" w:color="auto" w:fill="auto"/>
          </w:tcPr>
          <w:p w14:paraId="59113D9E"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575C273" w14:textId="77777777" w:rsidR="002F663C" w:rsidRPr="002F663C" w:rsidRDefault="00DA15D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1B16669" w14:textId="77777777" w:rsidR="002F663C" w:rsidRPr="002F663C" w:rsidRDefault="00262427" w:rsidP="00EB7B40">
            <w:pPr>
              <w:spacing w:before="120" w:after="120"/>
              <w:rPr>
                <w:rFonts w:eastAsia="Calibri" w:cs="Times New Roman"/>
              </w:rPr>
            </w:pPr>
            <w:hyperlink r:id="rId8" w:tgtFrame="_blank" w:history="1">
              <w:r w:rsidR="00DA15DE" w:rsidRPr="002F663C">
                <w:rPr>
                  <w:rFonts w:eastAsia="Calibri" w:cs="Times New Roman"/>
                  <w:color w:val="0000FF"/>
                  <w:u w:val="single"/>
                </w:rPr>
                <w:t>https://jdih.pom.go.id/view/slide/204596ed70e356fcce0788907616caac/1423/22/2022</w:t>
              </w:r>
            </w:hyperlink>
          </w:p>
          <w:p w14:paraId="5DB27933" w14:textId="77777777" w:rsidR="002F663C" w:rsidRPr="002F663C" w:rsidRDefault="00262427" w:rsidP="00EB7B40">
            <w:pPr>
              <w:spacing w:before="120" w:after="120"/>
              <w:rPr>
                <w:rFonts w:eastAsia="Calibri" w:cs="Times New Roman"/>
              </w:rPr>
            </w:pPr>
            <w:hyperlink r:id="rId9" w:tgtFrame="_blank" w:history="1">
              <w:r w:rsidR="00DA15DE" w:rsidRPr="002F663C">
                <w:rPr>
                  <w:rFonts w:eastAsia="Calibri" w:cs="Times New Roman"/>
                  <w:color w:val="0000FF"/>
                  <w:u w:val="single"/>
                </w:rPr>
                <w:t>https://members.wto.org/crnattachments/2023/TBT/IDN/final_measure/23_8788_00_x.pdf</w:t>
              </w:r>
            </w:hyperlink>
            <w:bookmarkEnd w:id="15"/>
          </w:p>
        </w:tc>
      </w:tr>
      <w:tr w:rsidR="005839EC" w14:paraId="415B99B9" w14:textId="77777777" w:rsidTr="00E9471B">
        <w:tc>
          <w:tcPr>
            <w:tcW w:w="851" w:type="dxa"/>
            <w:shd w:val="clear" w:color="auto" w:fill="auto"/>
          </w:tcPr>
          <w:p w14:paraId="181E2A2B"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X</w:t>
            </w:r>
            <w:bookmarkEnd w:id="16"/>
            <w:r w:rsidRPr="00711F9C">
              <w:rPr>
                <w:rFonts w:eastAsia="Calibri" w:cs="Times New Roman"/>
                <w:szCs w:val="18"/>
              </w:rPr>
              <w:t>]</w:t>
            </w:r>
          </w:p>
        </w:tc>
        <w:tc>
          <w:tcPr>
            <w:tcW w:w="8198" w:type="dxa"/>
            <w:shd w:val="clear" w:color="auto" w:fill="auto"/>
          </w:tcPr>
          <w:p w14:paraId="58446BBE" w14:textId="77777777" w:rsidR="002F663C" w:rsidRPr="002F663C" w:rsidRDefault="00DA15D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r w:rsidRPr="002F663C">
              <w:rPr>
                <w:rFonts w:eastAsia="Calibri" w:cs="Times New Roman"/>
              </w:rPr>
              <w:t>5 October 2022</w:t>
            </w:r>
            <w:bookmarkEnd w:id="17"/>
          </w:p>
          <w:p w14:paraId="53E633BC" w14:textId="77777777" w:rsidR="002F663C" w:rsidRPr="002F663C" w:rsidRDefault="00DA15D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839EC" w14:paraId="294BD323" w14:textId="77777777" w:rsidTr="00E9471B">
        <w:tc>
          <w:tcPr>
            <w:tcW w:w="851" w:type="dxa"/>
            <w:shd w:val="clear" w:color="auto" w:fill="auto"/>
          </w:tcPr>
          <w:p w14:paraId="722533A8" w14:textId="77777777" w:rsidR="002F663C" w:rsidRPr="00711F9C" w:rsidRDefault="00DA15D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83BB1FD" w14:textId="77777777" w:rsidR="002F663C" w:rsidRPr="002F663C" w:rsidRDefault="00DA15D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527F76C" w14:textId="77777777" w:rsidR="002F663C" w:rsidRPr="002F663C" w:rsidRDefault="00DA15D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839EC" w14:paraId="6C6AE0BA" w14:textId="77777777" w:rsidTr="00E9471B">
        <w:tc>
          <w:tcPr>
            <w:tcW w:w="851" w:type="dxa"/>
            <w:shd w:val="clear" w:color="auto" w:fill="auto"/>
          </w:tcPr>
          <w:p w14:paraId="5CEFA494" w14:textId="77777777" w:rsidR="002F663C" w:rsidRPr="00711F9C" w:rsidRDefault="00DA15D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089AAD0" w14:textId="77777777" w:rsidR="002F663C" w:rsidRPr="002F663C" w:rsidRDefault="00DA15D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839EC" w14:paraId="56FBC6E8" w14:textId="77777777" w:rsidTr="00E9471B">
        <w:tc>
          <w:tcPr>
            <w:tcW w:w="851" w:type="dxa"/>
            <w:tcBorders>
              <w:bottom w:val="double" w:sz="4" w:space="0" w:color="auto"/>
            </w:tcBorders>
            <w:shd w:val="clear" w:color="auto" w:fill="auto"/>
          </w:tcPr>
          <w:p w14:paraId="5B3C2074" w14:textId="77777777" w:rsidR="002F663C" w:rsidRPr="00711F9C" w:rsidRDefault="00DA15D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CB5D6BC" w14:textId="77777777" w:rsidR="002F663C" w:rsidRPr="002F663C" w:rsidRDefault="00DA15D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40A9F9B" w14:textId="77777777" w:rsidR="002F663C" w:rsidRPr="002F663C" w:rsidRDefault="002F663C" w:rsidP="002F663C">
      <w:pPr>
        <w:jc w:val="left"/>
        <w:rPr>
          <w:rFonts w:eastAsia="Calibri" w:cs="Times New Roman"/>
          <w:highlight w:val="yellow"/>
        </w:rPr>
      </w:pPr>
    </w:p>
    <w:p w14:paraId="7699B14E" w14:textId="77777777" w:rsidR="003971FF" w:rsidRPr="007F6EA2" w:rsidRDefault="00DA15D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Regulation of National Agency of Drug and Food Control (NADFC) Republic of Indonesia No.33 of 2018 on The Application of 2D Barcode for Food and Drug Control has been amended with the Regulation of National Agency of Drug and Food Control (NADFC) Republic of Indonesia No. 22 of 2022. The new provision and amendment in this regulation include:</w:t>
      </w:r>
    </w:p>
    <w:p w14:paraId="0133FFCA"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a. The 2D Barcode identification policy for all over-the-counter drugs;</w:t>
      </w:r>
    </w:p>
    <w:p w14:paraId="42E8A500"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b. The implementation of aggregation system;</w:t>
      </w:r>
    </w:p>
    <w:p w14:paraId="720EC8D0"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c. Extension of 2D Barcode reporting deadline for every activity;</w:t>
      </w:r>
    </w:p>
    <w:p w14:paraId="3C3ADABC"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lastRenderedPageBreak/>
        <w:t>d. The stage of 2D Barcode authentication method reporting in distribution facilities and pharmaceutical service facilities;</w:t>
      </w:r>
    </w:p>
    <w:p w14:paraId="38E62BD9"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e. The removal of validity period for the marketing authorization from the information contained in the 2D Barcode identification method;</w:t>
      </w:r>
    </w:p>
    <w:p w14:paraId="712CFD98"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f. Requirements of 2D Barcode inclusion on the packaging;</w:t>
      </w:r>
    </w:p>
    <w:p w14:paraId="6609A149" w14:textId="77777777" w:rsidR="00702582" w:rsidRPr="002F663C" w:rsidRDefault="00DA15DE" w:rsidP="00B16ACF">
      <w:pPr>
        <w:spacing w:before="120" w:after="120"/>
        <w:rPr>
          <w:rFonts w:eastAsia="Calibri" w:cs="Times New Roman"/>
          <w:szCs w:val="18"/>
        </w:rPr>
      </w:pPr>
      <w:r w:rsidRPr="002F663C">
        <w:rPr>
          <w:rFonts w:eastAsia="Calibri" w:cs="Times New Roman"/>
          <w:szCs w:val="18"/>
        </w:rPr>
        <w:t>g. The extension of the grace period for implementing the 2D Barcode authentication method.</w:t>
      </w:r>
      <w:bookmarkEnd w:id="26"/>
    </w:p>
    <w:p w14:paraId="1A7D4B1C" w14:textId="77777777" w:rsidR="006C5A96" w:rsidRDefault="00DA15DE" w:rsidP="006C5A96">
      <w:pPr>
        <w:jc w:val="center"/>
        <w:rPr>
          <w:b/>
        </w:rPr>
      </w:pPr>
      <w:r w:rsidRPr="003971FF">
        <w:rPr>
          <w:b/>
        </w:rPr>
        <w:t>__________</w:t>
      </w:r>
    </w:p>
    <w:p w14:paraId="53B71FA0" w14:textId="77777777" w:rsidR="004D4D19" w:rsidRDefault="004D4D19" w:rsidP="007F38C2">
      <w:pPr>
        <w:jc w:val="center"/>
        <w:rPr>
          <w:b/>
        </w:rPr>
      </w:pPr>
    </w:p>
    <w:p w14:paraId="33452EA4"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1947" w14:textId="77777777" w:rsidR="00486412" w:rsidRDefault="00DA15DE">
      <w:r>
        <w:separator/>
      </w:r>
    </w:p>
  </w:endnote>
  <w:endnote w:type="continuationSeparator" w:id="0">
    <w:p w14:paraId="0BCCA30B" w14:textId="77777777" w:rsidR="00486412" w:rsidRDefault="00D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F395" w14:textId="77777777" w:rsidR="00544326" w:rsidRPr="00DD3DD7" w:rsidRDefault="00DA15D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B814" w14:textId="77777777" w:rsidR="00544326" w:rsidRPr="00DD3DD7" w:rsidRDefault="00DA15D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2A8A" w14:textId="77777777" w:rsidR="000248E6" w:rsidRDefault="00DA15DE" w:rsidP="00ED54E0">
      <w:r>
        <w:separator/>
      </w:r>
    </w:p>
  </w:footnote>
  <w:footnote w:type="continuationSeparator" w:id="0">
    <w:p w14:paraId="643FA680" w14:textId="77777777" w:rsidR="000248E6" w:rsidRDefault="00DA15DE" w:rsidP="00ED54E0">
      <w:r>
        <w:continuationSeparator/>
      </w:r>
    </w:p>
  </w:footnote>
  <w:footnote w:id="1">
    <w:p w14:paraId="662CE8AC" w14:textId="77777777" w:rsidR="007F6EA2" w:rsidRDefault="00DA15D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67F5" w14:textId="77777777" w:rsidR="00DD3DD7" w:rsidRDefault="00DA15D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CA1D57A" w14:textId="77777777" w:rsidR="004D4D19" w:rsidRPr="00DD3DD7" w:rsidRDefault="004D4D19" w:rsidP="00DD3DD7">
    <w:pPr>
      <w:pStyle w:val="Header"/>
      <w:pBdr>
        <w:bottom w:val="single" w:sz="4" w:space="1" w:color="auto"/>
      </w:pBdr>
      <w:tabs>
        <w:tab w:val="clear" w:pos="4513"/>
        <w:tab w:val="clear" w:pos="9027"/>
      </w:tabs>
      <w:jc w:val="center"/>
    </w:pPr>
  </w:p>
  <w:p w14:paraId="1787A15C" w14:textId="77777777" w:rsidR="00DD3DD7" w:rsidRPr="00DD3DD7" w:rsidRDefault="00DA15D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945F99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8E6" w14:textId="77777777" w:rsidR="00DD3DD7" w:rsidRPr="00DD3DD7" w:rsidRDefault="00DA15DE" w:rsidP="00DD3DD7">
    <w:pPr>
      <w:pStyle w:val="Header"/>
      <w:pBdr>
        <w:bottom w:val="single" w:sz="4" w:space="1" w:color="auto"/>
      </w:pBdr>
      <w:tabs>
        <w:tab w:val="clear" w:pos="4513"/>
        <w:tab w:val="clear" w:pos="9027"/>
      </w:tabs>
      <w:jc w:val="center"/>
    </w:pPr>
    <w:bookmarkStart w:id="28" w:name="spsSymbolHeader"/>
    <w:r w:rsidRPr="00DD3DD7">
      <w:t>G/TBT/N/IDN/125/Rev.1/Add.1</w:t>
    </w:r>
    <w:bookmarkEnd w:id="28"/>
  </w:p>
  <w:p w14:paraId="23278C49" w14:textId="77777777" w:rsidR="00DD3DD7" w:rsidRPr="00DD3DD7" w:rsidRDefault="00DD3DD7" w:rsidP="00DD3DD7">
    <w:pPr>
      <w:pStyle w:val="Header"/>
      <w:pBdr>
        <w:bottom w:val="single" w:sz="4" w:space="1" w:color="auto"/>
      </w:pBdr>
      <w:tabs>
        <w:tab w:val="clear" w:pos="4513"/>
        <w:tab w:val="clear" w:pos="9027"/>
      </w:tabs>
      <w:jc w:val="center"/>
    </w:pPr>
  </w:p>
  <w:p w14:paraId="3F3D7FFF" w14:textId="77777777" w:rsidR="00DD3DD7" w:rsidRPr="00DD3DD7" w:rsidRDefault="00DA15D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642B4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39EC" w14:paraId="595A3C30" w14:textId="77777777" w:rsidTr="00544326">
      <w:trPr>
        <w:trHeight w:val="240"/>
        <w:jc w:val="center"/>
      </w:trPr>
      <w:tc>
        <w:tcPr>
          <w:tcW w:w="3794" w:type="dxa"/>
          <w:shd w:val="clear" w:color="auto" w:fill="FFFFFF"/>
          <w:tcMar>
            <w:left w:w="108" w:type="dxa"/>
            <w:right w:w="108" w:type="dxa"/>
          </w:tcMar>
          <w:vAlign w:val="center"/>
        </w:tcPr>
        <w:p w14:paraId="5AFB5E5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85E6BCB" w14:textId="77777777" w:rsidR="00ED54E0" w:rsidRPr="00182B84" w:rsidRDefault="00DA15DE" w:rsidP="00425DC5">
          <w:pPr>
            <w:jc w:val="right"/>
            <w:rPr>
              <w:b/>
              <w:color w:val="FF0000"/>
              <w:szCs w:val="16"/>
            </w:rPr>
          </w:pPr>
          <w:r>
            <w:rPr>
              <w:b/>
              <w:color w:val="FF0000"/>
              <w:szCs w:val="16"/>
            </w:rPr>
            <w:t xml:space="preserve"> </w:t>
          </w:r>
        </w:p>
      </w:tc>
    </w:tr>
    <w:tr w:rsidR="005839EC" w14:paraId="1C9AA656" w14:textId="77777777" w:rsidTr="00544326">
      <w:trPr>
        <w:trHeight w:val="213"/>
        <w:jc w:val="center"/>
      </w:trPr>
      <w:tc>
        <w:tcPr>
          <w:tcW w:w="3794" w:type="dxa"/>
          <w:vMerge w:val="restart"/>
          <w:shd w:val="clear" w:color="auto" w:fill="FFFFFF"/>
          <w:tcMar>
            <w:left w:w="0" w:type="dxa"/>
            <w:right w:w="0" w:type="dxa"/>
          </w:tcMar>
        </w:tcPr>
        <w:p w14:paraId="75C3D793" w14:textId="77777777" w:rsidR="00ED54E0" w:rsidRPr="00182B84" w:rsidRDefault="00DA15DE" w:rsidP="00425DC5">
          <w:pPr>
            <w:jc w:val="left"/>
          </w:pPr>
          <w:r w:rsidRPr="00182B84">
            <w:rPr>
              <w:noProof/>
              <w:lang w:val="en-US"/>
            </w:rPr>
            <w:drawing>
              <wp:inline distT="0" distB="0" distL="0" distR="0" wp14:anchorId="0719D8D4" wp14:editId="05A0000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417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320FF2" w14:textId="77777777" w:rsidR="00ED54E0" w:rsidRPr="00182B84" w:rsidRDefault="00ED54E0" w:rsidP="00425DC5">
          <w:pPr>
            <w:jc w:val="right"/>
            <w:rPr>
              <w:b/>
              <w:szCs w:val="16"/>
            </w:rPr>
          </w:pPr>
        </w:p>
      </w:tc>
    </w:tr>
    <w:tr w:rsidR="005839EC" w14:paraId="33A67D7B" w14:textId="77777777" w:rsidTr="00544326">
      <w:trPr>
        <w:trHeight w:val="868"/>
        <w:jc w:val="center"/>
      </w:trPr>
      <w:tc>
        <w:tcPr>
          <w:tcW w:w="3794" w:type="dxa"/>
          <w:vMerge/>
          <w:shd w:val="clear" w:color="auto" w:fill="FFFFFF"/>
          <w:tcMar>
            <w:left w:w="108" w:type="dxa"/>
            <w:right w:w="108" w:type="dxa"/>
          </w:tcMar>
        </w:tcPr>
        <w:p w14:paraId="73EBE89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C47B1CB" w14:textId="77777777" w:rsidR="00DD3DD7" w:rsidRPr="002F663C" w:rsidRDefault="00DA15DE" w:rsidP="00DD3DD7">
          <w:pPr>
            <w:jc w:val="right"/>
            <w:rPr>
              <w:rFonts w:eastAsia="Calibri" w:cs="Times New Roman"/>
              <w:b/>
              <w:szCs w:val="16"/>
            </w:rPr>
          </w:pPr>
          <w:bookmarkStart w:id="29" w:name="bmkSymbols"/>
          <w:r w:rsidRPr="002F663C">
            <w:rPr>
              <w:rFonts w:eastAsia="Calibri" w:cs="Times New Roman"/>
              <w:b/>
              <w:szCs w:val="16"/>
            </w:rPr>
            <w:t>G/TBT/N/IDN/125/Rev.1/Add.1</w:t>
          </w:r>
          <w:bookmarkEnd w:id="29"/>
        </w:p>
        <w:p w14:paraId="257C7BCF" w14:textId="77777777" w:rsidR="00C14444" w:rsidRPr="00C14444" w:rsidRDefault="00C14444" w:rsidP="00C14444">
          <w:pPr>
            <w:jc w:val="center"/>
            <w:rPr>
              <w:szCs w:val="16"/>
            </w:rPr>
          </w:pPr>
        </w:p>
      </w:tc>
    </w:tr>
    <w:tr w:rsidR="005839EC" w14:paraId="28C294FC" w14:textId="77777777" w:rsidTr="00544326">
      <w:trPr>
        <w:trHeight w:val="240"/>
        <w:jc w:val="center"/>
      </w:trPr>
      <w:tc>
        <w:tcPr>
          <w:tcW w:w="3794" w:type="dxa"/>
          <w:vMerge/>
          <w:shd w:val="clear" w:color="auto" w:fill="FFFFFF"/>
          <w:tcMar>
            <w:left w:w="108" w:type="dxa"/>
            <w:right w:w="108" w:type="dxa"/>
          </w:tcMar>
          <w:vAlign w:val="center"/>
        </w:tcPr>
        <w:p w14:paraId="1528A3E3" w14:textId="77777777" w:rsidR="00ED54E0" w:rsidRPr="00182B84" w:rsidRDefault="00ED54E0" w:rsidP="00425DC5"/>
      </w:tc>
      <w:tc>
        <w:tcPr>
          <w:tcW w:w="5448" w:type="dxa"/>
          <w:gridSpan w:val="2"/>
          <w:shd w:val="clear" w:color="auto" w:fill="FFFFFF"/>
          <w:tcMar>
            <w:left w:w="108" w:type="dxa"/>
            <w:right w:w="108" w:type="dxa"/>
          </w:tcMar>
          <w:vAlign w:val="center"/>
        </w:tcPr>
        <w:p w14:paraId="53240AE3" w14:textId="21E27940" w:rsidR="00ED54E0" w:rsidRPr="00182B84" w:rsidRDefault="00DA15DE" w:rsidP="00425DC5">
          <w:pPr>
            <w:jc w:val="right"/>
            <w:rPr>
              <w:szCs w:val="16"/>
            </w:rPr>
          </w:pPr>
          <w:bookmarkStart w:id="30" w:name="bmkDate"/>
          <w:bookmarkEnd w:id="30"/>
          <w:r>
            <w:rPr>
              <w:szCs w:val="16"/>
            </w:rPr>
            <w:t>6 April 2023</w:t>
          </w:r>
        </w:p>
      </w:tc>
    </w:tr>
    <w:tr w:rsidR="005839EC" w14:paraId="0CC7251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DA5E50" w14:textId="475471C4" w:rsidR="00ED54E0" w:rsidRPr="00182B84" w:rsidRDefault="00DA15D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262427">
            <w:rPr>
              <w:rFonts w:eastAsia="Calibri" w:cs="Times New Roman"/>
              <w:color w:val="FF0000"/>
              <w:szCs w:val="16"/>
            </w:rPr>
            <w:t>2522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36109F1" w14:textId="77777777" w:rsidR="00ED54E0" w:rsidRPr="00182B84" w:rsidRDefault="00DA15D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839EC" w14:paraId="31F61A7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E6A238" w14:textId="77777777" w:rsidR="00ED54E0" w:rsidRPr="00182B84" w:rsidRDefault="00DA15D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0EA2766" w14:textId="77777777" w:rsidR="00ED54E0" w:rsidRPr="00182B84" w:rsidRDefault="00DA15D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963349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7A7196">
      <w:start w:val="1"/>
      <w:numFmt w:val="decimal"/>
      <w:pStyle w:val="SummaryText"/>
      <w:lvlText w:val="%1."/>
      <w:lvlJc w:val="left"/>
      <w:pPr>
        <w:ind w:left="360" w:hanging="360"/>
      </w:pPr>
    </w:lvl>
    <w:lvl w:ilvl="1" w:tplc="054A372E" w:tentative="1">
      <w:start w:val="1"/>
      <w:numFmt w:val="lowerLetter"/>
      <w:lvlText w:val="%2."/>
      <w:lvlJc w:val="left"/>
      <w:pPr>
        <w:ind w:left="1080" w:hanging="360"/>
      </w:pPr>
    </w:lvl>
    <w:lvl w:ilvl="2" w:tplc="5F9C6F86" w:tentative="1">
      <w:start w:val="1"/>
      <w:numFmt w:val="lowerRoman"/>
      <w:lvlText w:val="%3."/>
      <w:lvlJc w:val="right"/>
      <w:pPr>
        <w:ind w:left="1800" w:hanging="180"/>
      </w:pPr>
    </w:lvl>
    <w:lvl w:ilvl="3" w:tplc="F5C4E1C8" w:tentative="1">
      <w:start w:val="1"/>
      <w:numFmt w:val="decimal"/>
      <w:lvlText w:val="%4."/>
      <w:lvlJc w:val="left"/>
      <w:pPr>
        <w:ind w:left="2520" w:hanging="360"/>
      </w:pPr>
    </w:lvl>
    <w:lvl w:ilvl="4" w:tplc="7270D1BA" w:tentative="1">
      <w:start w:val="1"/>
      <w:numFmt w:val="lowerLetter"/>
      <w:lvlText w:val="%5."/>
      <w:lvlJc w:val="left"/>
      <w:pPr>
        <w:ind w:left="3240" w:hanging="360"/>
      </w:pPr>
    </w:lvl>
    <w:lvl w:ilvl="5" w:tplc="67E06D52" w:tentative="1">
      <w:start w:val="1"/>
      <w:numFmt w:val="lowerRoman"/>
      <w:lvlText w:val="%6."/>
      <w:lvlJc w:val="right"/>
      <w:pPr>
        <w:ind w:left="3960" w:hanging="180"/>
      </w:pPr>
    </w:lvl>
    <w:lvl w:ilvl="6" w:tplc="820C79E0" w:tentative="1">
      <w:start w:val="1"/>
      <w:numFmt w:val="decimal"/>
      <w:lvlText w:val="%7."/>
      <w:lvlJc w:val="left"/>
      <w:pPr>
        <w:ind w:left="4680" w:hanging="360"/>
      </w:pPr>
    </w:lvl>
    <w:lvl w:ilvl="7" w:tplc="F2E28B56" w:tentative="1">
      <w:start w:val="1"/>
      <w:numFmt w:val="lowerLetter"/>
      <w:lvlText w:val="%8."/>
      <w:lvlJc w:val="left"/>
      <w:pPr>
        <w:ind w:left="5400" w:hanging="360"/>
      </w:pPr>
    </w:lvl>
    <w:lvl w:ilvl="8" w:tplc="D076E7AE" w:tentative="1">
      <w:start w:val="1"/>
      <w:numFmt w:val="lowerRoman"/>
      <w:lvlText w:val="%9."/>
      <w:lvlJc w:val="right"/>
      <w:pPr>
        <w:ind w:left="6120" w:hanging="180"/>
      </w:pPr>
    </w:lvl>
  </w:abstractNum>
  <w:num w:numId="1" w16cid:durableId="1655378976">
    <w:abstractNumId w:val="9"/>
  </w:num>
  <w:num w:numId="2" w16cid:durableId="708578161">
    <w:abstractNumId w:val="7"/>
  </w:num>
  <w:num w:numId="3" w16cid:durableId="466624340">
    <w:abstractNumId w:val="6"/>
  </w:num>
  <w:num w:numId="4" w16cid:durableId="1000427427">
    <w:abstractNumId w:val="5"/>
  </w:num>
  <w:num w:numId="5" w16cid:durableId="301160694">
    <w:abstractNumId w:val="4"/>
  </w:num>
  <w:num w:numId="6" w16cid:durableId="1313484618">
    <w:abstractNumId w:val="12"/>
  </w:num>
  <w:num w:numId="7" w16cid:durableId="1792357624">
    <w:abstractNumId w:val="11"/>
  </w:num>
  <w:num w:numId="8" w16cid:durableId="1291550487">
    <w:abstractNumId w:val="10"/>
  </w:num>
  <w:num w:numId="9" w16cid:durableId="157647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454735">
    <w:abstractNumId w:val="13"/>
  </w:num>
  <w:num w:numId="11" w16cid:durableId="717045826">
    <w:abstractNumId w:val="8"/>
  </w:num>
  <w:num w:numId="12" w16cid:durableId="631595285">
    <w:abstractNumId w:val="3"/>
  </w:num>
  <w:num w:numId="13" w16cid:durableId="407307989">
    <w:abstractNumId w:val="2"/>
  </w:num>
  <w:num w:numId="14" w16cid:durableId="636689518">
    <w:abstractNumId w:val="1"/>
  </w:num>
  <w:num w:numId="15" w16cid:durableId="1655571283">
    <w:abstractNumId w:val="0"/>
  </w:num>
  <w:num w:numId="16" w16cid:durableId="7351258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2427"/>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86412"/>
    <w:rsid w:val="004A220F"/>
    <w:rsid w:val="004C5A53"/>
    <w:rsid w:val="004D4D19"/>
    <w:rsid w:val="004F203A"/>
    <w:rsid w:val="005336B8"/>
    <w:rsid w:val="00544326"/>
    <w:rsid w:val="00547B5F"/>
    <w:rsid w:val="005733F2"/>
    <w:rsid w:val="00573D49"/>
    <w:rsid w:val="005839EC"/>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2582"/>
    <w:rsid w:val="00711F9C"/>
    <w:rsid w:val="007141CF"/>
    <w:rsid w:val="0071546B"/>
    <w:rsid w:val="00724E52"/>
    <w:rsid w:val="00745146"/>
    <w:rsid w:val="007577E3"/>
    <w:rsid w:val="00760003"/>
    <w:rsid w:val="00760DB3"/>
    <w:rsid w:val="0076297F"/>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15DE"/>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8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jdih.pom.go.id/view/slide/204596ed70e356fcce0788907616caac/1423/22/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IDN/final_measure/23_878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279</Words>
  <Characters>1662</Characters>
  <Application>Microsoft Office Word</Application>
  <DocSecurity>0</DocSecurity>
  <Lines>51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2023-04-06T13:19:00Z</dcterms:created>
  <dcterms:modified xsi:type="dcterms:W3CDTF">2023-04-06T13:45:00Z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