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BFCB" w14:textId="77777777" w:rsidR="009239F7" w:rsidRPr="002F6A28" w:rsidRDefault="00E67FA2" w:rsidP="002F6A28">
      <w:pPr>
        <w:pStyle w:val="Title"/>
        <w:rPr>
          <w:caps w:val="0"/>
          <w:kern w:val="0"/>
        </w:rPr>
      </w:pPr>
      <w:r w:rsidRPr="002F6A28">
        <w:rPr>
          <w:caps w:val="0"/>
          <w:kern w:val="0"/>
        </w:rPr>
        <w:t>NOTIFICATION</w:t>
      </w:r>
    </w:p>
    <w:p w14:paraId="58F79806" w14:textId="77777777" w:rsidR="009239F7" w:rsidRPr="002F6A28" w:rsidRDefault="00E67FA2" w:rsidP="002F6A28">
      <w:pPr>
        <w:jc w:val="center"/>
      </w:pPr>
      <w:r w:rsidRPr="002F6A28">
        <w:t>The following notification is being circulated in accordance with Article 10.6</w:t>
      </w:r>
    </w:p>
    <w:p w14:paraId="2D9010B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11636" w14:paraId="461D6D8C" w14:textId="77777777" w:rsidTr="0069259F">
        <w:tc>
          <w:tcPr>
            <w:tcW w:w="713" w:type="dxa"/>
            <w:tcBorders>
              <w:bottom w:val="single" w:sz="6" w:space="0" w:color="auto"/>
            </w:tcBorders>
            <w:shd w:val="clear" w:color="auto" w:fill="auto"/>
          </w:tcPr>
          <w:p w14:paraId="0ADF3ED0" w14:textId="77777777" w:rsidR="00F85C99" w:rsidRPr="002F6A28" w:rsidRDefault="00E67FA2" w:rsidP="002F6A28">
            <w:pPr>
              <w:spacing w:before="120" w:after="120"/>
              <w:jc w:val="left"/>
            </w:pPr>
            <w:r w:rsidRPr="002F6A28">
              <w:rPr>
                <w:b/>
              </w:rPr>
              <w:t>1.</w:t>
            </w:r>
          </w:p>
        </w:tc>
        <w:tc>
          <w:tcPr>
            <w:tcW w:w="8546" w:type="dxa"/>
            <w:tcBorders>
              <w:bottom w:val="single" w:sz="6" w:space="0" w:color="auto"/>
            </w:tcBorders>
            <w:shd w:val="clear" w:color="auto" w:fill="auto"/>
          </w:tcPr>
          <w:p w14:paraId="317979B8" w14:textId="77777777" w:rsidR="00F85C99" w:rsidRPr="002F6A28" w:rsidRDefault="00E67FA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C3F5E9D" w14:textId="77777777" w:rsidR="00F85C99" w:rsidRPr="002F6A28" w:rsidRDefault="00E67F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11636" w14:paraId="6410254C" w14:textId="77777777" w:rsidTr="0069259F">
        <w:tc>
          <w:tcPr>
            <w:tcW w:w="713" w:type="dxa"/>
            <w:tcBorders>
              <w:top w:val="single" w:sz="6" w:space="0" w:color="auto"/>
              <w:bottom w:val="single" w:sz="6" w:space="0" w:color="auto"/>
            </w:tcBorders>
            <w:shd w:val="clear" w:color="auto" w:fill="auto"/>
          </w:tcPr>
          <w:p w14:paraId="72007CC2" w14:textId="77777777" w:rsidR="00F85C99" w:rsidRPr="002F6A28" w:rsidRDefault="00E67F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BF03B5" w14:textId="77777777" w:rsidR="00F85C99" w:rsidRPr="002F6A28" w:rsidRDefault="00E67F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5FDF985" w14:textId="77777777" w:rsidR="00EE3A11" w:rsidRPr="00C379C8" w:rsidRDefault="00E67FA2" w:rsidP="00155128">
            <w:pPr>
              <w:spacing w:after="120"/>
            </w:pPr>
            <w:r w:rsidRPr="00C379C8">
              <w:t>European Commission</w:t>
            </w:r>
            <w:bookmarkEnd w:id="5"/>
          </w:p>
          <w:p w14:paraId="4B5A10B9" w14:textId="77777777" w:rsidR="00F85C99" w:rsidRPr="002F6A28" w:rsidRDefault="00E67F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94065E4" w14:textId="77777777" w:rsidR="00AC6C6E" w:rsidRPr="00940569" w:rsidRDefault="00E67FA2" w:rsidP="00AA646C">
            <w:pPr>
              <w:rPr>
                <w:lang w:val="fr-CH"/>
              </w:rPr>
            </w:pPr>
            <w:r w:rsidRPr="00940569">
              <w:rPr>
                <w:lang w:val="fr-CH"/>
              </w:rPr>
              <w:t>European Commission,</w:t>
            </w:r>
          </w:p>
          <w:p w14:paraId="1691D01F" w14:textId="77777777" w:rsidR="00AC6C6E" w:rsidRPr="00940569" w:rsidRDefault="00E67FA2" w:rsidP="00AA646C">
            <w:pPr>
              <w:rPr>
                <w:lang w:val="fr-CH"/>
              </w:rPr>
            </w:pPr>
            <w:r w:rsidRPr="00940569">
              <w:rPr>
                <w:lang w:val="fr-CH"/>
              </w:rPr>
              <w:t>EU-TBT Enquiry Point,</w:t>
            </w:r>
          </w:p>
          <w:p w14:paraId="72E9E523" w14:textId="77777777" w:rsidR="00AC6C6E" w:rsidRPr="00940569" w:rsidRDefault="00E67FA2" w:rsidP="00AA646C">
            <w:pPr>
              <w:rPr>
                <w:lang w:val="fr-CH"/>
              </w:rPr>
            </w:pPr>
            <w:r w:rsidRPr="00940569">
              <w:rPr>
                <w:lang w:val="fr-CH"/>
              </w:rPr>
              <w:t>Fax: +(32) 2 299 80 43,</w:t>
            </w:r>
          </w:p>
          <w:p w14:paraId="1208728B" w14:textId="77777777" w:rsidR="00AC6C6E" w:rsidRPr="00940569" w:rsidRDefault="00E67FA2" w:rsidP="00AA646C">
            <w:pPr>
              <w:rPr>
                <w:lang w:val="fr-CH"/>
              </w:rPr>
            </w:pPr>
            <w:r w:rsidRPr="00940569">
              <w:rPr>
                <w:lang w:val="fr-CH"/>
              </w:rPr>
              <w:t xml:space="preserve">E-mail: </w:t>
            </w:r>
            <w:hyperlink r:id="rId8" w:history="1">
              <w:r w:rsidRPr="00940569">
                <w:rPr>
                  <w:color w:val="0000FF"/>
                  <w:u w:val="single"/>
                  <w:lang w:val="fr-CH"/>
                </w:rPr>
                <w:t>grow-eu-tbt@ec.europa.eu</w:t>
              </w:r>
            </w:hyperlink>
          </w:p>
          <w:p w14:paraId="691EF7AA" w14:textId="77777777" w:rsidR="00AC6C6E" w:rsidRPr="00C379C8" w:rsidRDefault="00E67FA2"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411636" w14:paraId="7152FA06" w14:textId="77777777" w:rsidTr="0069259F">
        <w:tc>
          <w:tcPr>
            <w:tcW w:w="713" w:type="dxa"/>
            <w:tcBorders>
              <w:top w:val="single" w:sz="6" w:space="0" w:color="auto"/>
              <w:bottom w:val="single" w:sz="6" w:space="0" w:color="auto"/>
            </w:tcBorders>
            <w:shd w:val="clear" w:color="auto" w:fill="auto"/>
          </w:tcPr>
          <w:p w14:paraId="5A73CE11" w14:textId="77777777" w:rsidR="00F85C99" w:rsidRPr="002F6A28" w:rsidRDefault="00E67F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7B54CE0" w14:textId="77777777" w:rsidR="00F85C99" w:rsidRPr="0058336F" w:rsidRDefault="00E67F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11636" w14:paraId="2C52F3BB" w14:textId="77777777" w:rsidTr="0069259F">
        <w:tc>
          <w:tcPr>
            <w:tcW w:w="713" w:type="dxa"/>
            <w:tcBorders>
              <w:top w:val="single" w:sz="6" w:space="0" w:color="auto"/>
              <w:bottom w:val="single" w:sz="6" w:space="0" w:color="auto"/>
            </w:tcBorders>
            <w:shd w:val="clear" w:color="auto" w:fill="auto"/>
          </w:tcPr>
          <w:p w14:paraId="174EB16B" w14:textId="77777777" w:rsidR="00F85C99" w:rsidRPr="002F6A28" w:rsidRDefault="00E67F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0F90573" w14:textId="77777777" w:rsidR="00F85C99" w:rsidRPr="002F6A28" w:rsidRDefault="00E67FA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Metiram (pesticide active substance)</w:t>
            </w:r>
            <w:bookmarkEnd w:id="22"/>
          </w:p>
        </w:tc>
      </w:tr>
      <w:tr w:rsidR="00411636" w14:paraId="355C002C" w14:textId="77777777" w:rsidTr="0069259F">
        <w:tc>
          <w:tcPr>
            <w:tcW w:w="713" w:type="dxa"/>
            <w:tcBorders>
              <w:top w:val="single" w:sz="6" w:space="0" w:color="auto"/>
              <w:bottom w:val="single" w:sz="6" w:space="0" w:color="auto"/>
            </w:tcBorders>
            <w:shd w:val="clear" w:color="auto" w:fill="auto"/>
          </w:tcPr>
          <w:p w14:paraId="055D1671" w14:textId="77777777" w:rsidR="00F85C99" w:rsidRPr="002F6A28" w:rsidRDefault="00E67F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32A7CB" w14:textId="77777777" w:rsidR="00F85C99" w:rsidRPr="002F6A28" w:rsidRDefault="00E67FA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concerning the non-renewal of the approval of the active substance Metiram, in accordance with Regulation (EC) No 1107/2009 of the European Parliament and of the Council, and amending Commission Implementing Regulation (EU) No 540/2011; (5 page(s), in English)</w:t>
            </w:r>
            <w:bookmarkEnd w:id="24"/>
          </w:p>
        </w:tc>
      </w:tr>
      <w:tr w:rsidR="00411636" w14:paraId="7E9F0FE8" w14:textId="77777777" w:rsidTr="0069259F">
        <w:tc>
          <w:tcPr>
            <w:tcW w:w="713" w:type="dxa"/>
            <w:tcBorders>
              <w:top w:val="single" w:sz="6" w:space="0" w:color="auto"/>
              <w:bottom w:val="single" w:sz="6" w:space="0" w:color="auto"/>
            </w:tcBorders>
            <w:shd w:val="clear" w:color="auto" w:fill="auto"/>
          </w:tcPr>
          <w:p w14:paraId="257F6144" w14:textId="77777777" w:rsidR="00F85C99" w:rsidRPr="002F6A28" w:rsidRDefault="00E67FA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C339E8" w14:textId="77777777" w:rsidR="00F85C99" w:rsidRPr="002F6A28" w:rsidRDefault="00E67F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Regulation provides that the approval of the active substance Metiram is not renewed in accordance with Regulation (EC) No 1107/2009. EU Member States shall withdraw authorisations for plant protection products containing Metiram as an active substance. The non-renewal of approval is based on the first evaluation of the substance for use as a pesticide active substance in the EU under Regulation (EC) No 1107/2009. The substance was formerly assessed and approved under Directive 91/414/ EEC.</w:t>
            </w:r>
          </w:p>
          <w:p w14:paraId="369148B5" w14:textId="77777777" w:rsidR="00FE448B" w:rsidRPr="00C379C8" w:rsidRDefault="00E67FA2" w:rsidP="002F6A28">
            <w:pPr>
              <w:spacing w:before="120" w:after="120"/>
            </w:pPr>
            <w:r w:rsidRPr="00C379C8">
              <w:t>This decision only concerns the placing on the market of this substance and plant protection products containing it. Following non-approval and the expiry of all grace periods for stocks of products containing this substance, separate action will likely be taken on MRLs and a separate notification will be made in accordance with SPS procedures.</w:t>
            </w:r>
            <w:bookmarkEnd w:id="26"/>
          </w:p>
        </w:tc>
      </w:tr>
      <w:tr w:rsidR="00411636" w14:paraId="47A3788B" w14:textId="77777777" w:rsidTr="0069259F">
        <w:tc>
          <w:tcPr>
            <w:tcW w:w="713" w:type="dxa"/>
            <w:tcBorders>
              <w:top w:val="single" w:sz="6" w:space="0" w:color="auto"/>
              <w:bottom w:val="single" w:sz="6" w:space="0" w:color="auto"/>
            </w:tcBorders>
            <w:shd w:val="clear" w:color="auto" w:fill="auto"/>
          </w:tcPr>
          <w:p w14:paraId="3732346A" w14:textId="77777777" w:rsidR="00F85C99" w:rsidRPr="002F6A28" w:rsidRDefault="00E67FA2" w:rsidP="00610A49">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C11872C" w14:textId="77777777" w:rsidR="00F85C99" w:rsidRPr="002F6A28" w:rsidRDefault="00E67FA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677B7375" w14:textId="77777777" w:rsidR="00EE3A11" w:rsidRPr="00C379C8" w:rsidRDefault="00E67FA2" w:rsidP="002F6A28">
            <w:pPr>
              <w:spacing w:before="120" w:after="120"/>
            </w:pPr>
            <w:r w:rsidRPr="00C379C8">
              <w:t>In order for an active substance to be approved in accordance with Regulation (EC) No 1107/2009 (concerning the placing of plant protection products on the market), it must be demonstrated that the substance is not harmful to human health, animal health or the environment. Criteria are listed in Article 4 of the Regulation (and also detailed in Annex II thereto) which must be met to enable approval.</w:t>
            </w:r>
          </w:p>
          <w:p w14:paraId="06092C7E" w14:textId="77777777" w:rsidR="00EE3A11" w:rsidRPr="00C379C8" w:rsidRDefault="00E67FA2" w:rsidP="002F6A28">
            <w:pPr>
              <w:spacing w:before="120" w:after="120"/>
            </w:pPr>
            <w:r w:rsidRPr="00C379C8">
              <w:t>During the evaluation and peer-review of Metiram, a number of concerns and areas that could not be finalised were identified. These are detailed in the statement of the European Food Safety Authority (EFSA).</w:t>
            </w:r>
          </w:p>
          <w:p w14:paraId="28FCA136" w14:textId="77777777" w:rsidR="00EE3A11" w:rsidRPr="00C379C8" w:rsidRDefault="00E67FA2" w:rsidP="002F6A28">
            <w:pPr>
              <w:spacing w:before="120" w:after="120"/>
            </w:pPr>
            <w:r w:rsidRPr="00C379C8">
              <w:t>The decision is based on a risk assessment carried out by a rapporteur EU Member State and peer reviewed by the European Food Safety Authority together with all EU Member States, taking into account other factors legitimate to the matter.</w:t>
            </w:r>
          </w:p>
          <w:p w14:paraId="7EC15A5F" w14:textId="77777777" w:rsidR="00EE3A11" w:rsidRPr="00C379C8" w:rsidRDefault="00E67FA2" w:rsidP="002F6A28">
            <w:pPr>
              <w:spacing w:before="120" w:after="120"/>
            </w:pPr>
            <w:r w:rsidRPr="00C379C8">
              <w:t>In the case of Metiram, the outcome of the risk assessment, as documented in the EFSA Conclusion, is not favourable and identifies critical areas of concern.</w:t>
            </w:r>
          </w:p>
          <w:p w14:paraId="5AB4F2D5" w14:textId="77777777" w:rsidR="00EE3A11" w:rsidRPr="00C379C8" w:rsidRDefault="00E67FA2" w:rsidP="002F6A28">
            <w:pPr>
              <w:spacing w:before="120" w:after="120"/>
            </w:pPr>
            <w:r w:rsidRPr="00C379C8">
              <w:t>These critical areas of concern have been identified: Metiram is considered to meet the criteria for endocrine disruption (ED) for humans for the T modalities. Operator, bystander and resident exposure estimates are exceeding the reference values (relevant for all representative uses evaluated). High risk to aquatic organisms was identified for all representative uses. A high in-field risk for non-target arthropods was identified for all representative uses.</w:t>
            </w:r>
          </w:p>
          <w:p w14:paraId="6AD4CD30" w14:textId="77777777" w:rsidR="00EE3A11" w:rsidRPr="00C379C8" w:rsidRDefault="00E67FA2" w:rsidP="002F6A28">
            <w:pPr>
              <w:spacing w:before="120" w:after="120"/>
            </w:pPr>
            <w:r w:rsidRPr="00C379C8">
              <w:t>Moreover, part of the risk assessment could not be finalised by EFSA, thus precluding the renewal, such as, among others, the consumer dietary risk assessment, the genotoxic potential and general toxicity of metabolite M222F001, the assessment of the long-term risk to birds and the risk to honey bee larvae. Therefore, the outcome of the risk assessment is not favourable to the renewal given that it can be concluded that several application scenarios are not acceptable. These concerns mean that Metiram does not meet the approval criteria as outlined in Regulation (EC) No 1107/2009.</w:t>
            </w:r>
          </w:p>
          <w:p w14:paraId="00D0954A" w14:textId="77777777" w:rsidR="00EE3A11" w:rsidRPr="00C379C8" w:rsidRDefault="00E67FA2" w:rsidP="002F6A28">
            <w:pPr>
              <w:spacing w:before="120" w:after="120"/>
            </w:pPr>
            <w:r w:rsidRPr="00C379C8">
              <w:t>Existing authorisations will need to be withdrawn; EU Member States must withdraw existing plant protection products containing Metiram at the latest by 6 months from the date of entry into force. A period of grace in line with Article 46 of Regulation 1107/2009 is allowed for and shall expire at the latest 12 months from the entry into force (allowing for a final season of use).</w:t>
            </w:r>
          </w:p>
          <w:p w14:paraId="5CFBEC42" w14:textId="77777777" w:rsidR="00EE3A11" w:rsidRPr="00C379C8" w:rsidRDefault="00E67FA2" w:rsidP="002F6A28">
            <w:pPr>
              <w:spacing w:before="120" w:after="120"/>
            </w:pPr>
            <w:r w:rsidRPr="00C379C8">
              <w:t>Protection of human health or safety; Protection of animal or plant life or health; Protection of the environment</w:t>
            </w:r>
            <w:bookmarkEnd w:id="28"/>
          </w:p>
        </w:tc>
      </w:tr>
      <w:tr w:rsidR="00411636" w14:paraId="7A5DF030" w14:textId="77777777" w:rsidTr="0069259F">
        <w:tc>
          <w:tcPr>
            <w:tcW w:w="713" w:type="dxa"/>
            <w:tcBorders>
              <w:top w:val="single" w:sz="6" w:space="0" w:color="auto"/>
              <w:bottom w:val="single" w:sz="6" w:space="0" w:color="auto"/>
            </w:tcBorders>
            <w:shd w:val="clear" w:color="auto" w:fill="auto"/>
          </w:tcPr>
          <w:p w14:paraId="65544642" w14:textId="77777777" w:rsidR="00F85C99" w:rsidRPr="002F6A28" w:rsidRDefault="00E67FA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D18430A" w14:textId="77777777" w:rsidR="00072B36" w:rsidRPr="002F6A28" w:rsidRDefault="00E67FA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6D0DA81" w14:textId="77777777" w:rsidR="00F85C99" w:rsidRPr="002F6A28" w:rsidRDefault="00E67FA2" w:rsidP="009E75ED">
            <w:pPr>
              <w:spacing w:before="120" w:after="120"/>
            </w:pPr>
            <w:bookmarkStart w:id="30" w:name="sps9a"/>
            <w:r w:rsidRPr="002F6A28">
              <w:t>Regulation (EC) No 1107/2009 of the European Parliament and of the Council of 21 October 2009 concerning the placing of plant protection products on the market and repealing Council Directives 79/117/EEC and 91/414/EEC</w:t>
            </w:r>
          </w:p>
          <w:p w14:paraId="255B7B14" w14:textId="77777777" w:rsidR="00F85C99" w:rsidRPr="002F6A28" w:rsidRDefault="00610A49" w:rsidP="009E75ED">
            <w:pPr>
              <w:spacing w:before="120" w:after="120"/>
            </w:pPr>
            <w:hyperlink r:id="rId10" w:history="1">
              <w:r w:rsidR="00E67FA2" w:rsidRPr="002F6A28">
                <w:rPr>
                  <w:color w:val="0000FF"/>
                  <w:u w:val="single"/>
                </w:rPr>
                <w:t>https://eur-lex.europa.eu/legal-content/EN/ALL/?uri=CELEX:32009R1107</w:t>
              </w:r>
            </w:hyperlink>
          </w:p>
          <w:p w14:paraId="418D7D8A" w14:textId="77777777" w:rsidR="00F85C99" w:rsidRPr="002F6A28" w:rsidRDefault="00E67FA2" w:rsidP="009E75ED">
            <w:pPr>
              <w:spacing w:before="120" w:after="120"/>
            </w:pPr>
            <w:r w:rsidRPr="002F6A28">
              <w:t>Commission Implementing Regulation (EU) No 540/2011 of 25 May 2011 implementing Regulation (EC) No 1107/2009 of the European Parliament and of the Council as regards the list of approved active substances (</w:t>
            </w:r>
            <w:r w:rsidRPr="002F6A28">
              <w:rPr>
                <w:i/>
                <w:iCs/>
              </w:rPr>
              <w:t>OJ L 153, 11.6.2011, p. 1–186</w:t>
            </w:r>
            <w:r w:rsidRPr="002F6A28">
              <w:t>)</w:t>
            </w:r>
          </w:p>
          <w:p w14:paraId="6C15F7B7" w14:textId="77777777" w:rsidR="00F85C99" w:rsidRPr="002F6A28" w:rsidRDefault="00610A49" w:rsidP="009E75ED">
            <w:pPr>
              <w:spacing w:before="120" w:after="120"/>
            </w:pPr>
            <w:hyperlink r:id="rId11" w:history="1">
              <w:r w:rsidR="00E67FA2" w:rsidRPr="002F6A28">
                <w:rPr>
                  <w:color w:val="0000FF"/>
                  <w:u w:val="single"/>
                </w:rPr>
                <w:t>https://eur-lex.europa.eu/legal-content/EN/ALL/?uri=CELEX:32011R0540</w:t>
              </w:r>
            </w:hyperlink>
          </w:p>
          <w:p w14:paraId="21CD067E" w14:textId="77777777" w:rsidR="00F85C99" w:rsidRPr="002F6A28" w:rsidRDefault="00E67FA2" w:rsidP="009E75ED">
            <w:pPr>
              <w:spacing w:before="120" w:after="120"/>
            </w:pPr>
            <w:r w:rsidRPr="002F6A28">
              <w:t>Commission Implementing Regulation (EU) 2015/408 of 11 March 2015 on implementing Article 80(7) of Regulation (EC) No 1107/2009 of the European Parliament and of the Council concerning the placing of plant protection products on the market and establishing a list of candidates for substitution (</w:t>
            </w:r>
            <w:r w:rsidRPr="002F6A28">
              <w:rPr>
                <w:i/>
                <w:iCs/>
              </w:rPr>
              <w:t>OJ L 67, 12.3.2015, p. 18–22</w:t>
            </w:r>
            <w:r w:rsidRPr="002F6A28">
              <w:t>)</w:t>
            </w:r>
          </w:p>
          <w:p w14:paraId="517ECF89" w14:textId="77777777" w:rsidR="00F85C99" w:rsidRPr="002F6A28" w:rsidRDefault="00610A49" w:rsidP="009E75ED">
            <w:pPr>
              <w:spacing w:before="120" w:after="120"/>
            </w:pPr>
            <w:hyperlink r:id="rId12" w:history="1">
              <w:r w:rsidR="00E67FA2" w:rsidRPr="002F6A28">
                <w:rPr>
                  <w:color w:val="0000FF"/>
                  <w:u w:val="single"/>
                </w:rPr>
                <w:t>https://eur-lex.europa.eu/legal-content/EN/ALL/?uri=CELEX:32015R0408</w:t>
              </w:r>
            </w:hyperlink>
          </w:p>
          <w:p w14:paraId="08ECAAB7" w14:textId="77777777" w:rsidR="00F85C99" w:rsidRPr="002F6A28" w:rsidRDefault="00E67FA2" w:rsidP="009E75ED">
            <w:pPr>
              <w:spacing w:before="120" w:after="120"/>
            </w:pPr>
            <w:r w:rsidRPr="002F6A28">
              <w:t xml:space="preserve">EFSA (European Food Safety Authority), 2022. Peer review of the pesticide risk assessment of the active substance metiram. </w:t>
            </w:r>
            <w:hyperlink r:id="rId13" w:history="1">
              <w:r w:rsidRPr="002F6A28">
                <w:rPr>
                  <w:color w:val="0000FF"/>
                  <w:u w:val="single"/>
                </w:rPr>
                <w:t>https://doi.org/10.2903/j.efsa.2023.7937</w:t>
              </w:r>
            </w:hyperlink>
            <w:bookmarkEnd w:id="30"/>
          </w:p>
        </w:tc>
      </w:tr>
      <w:tr w:rsidR="00411636" w14:paraId="69633E5D" w14:textId="77777777" w:rsidTr="00AE6CC8">
        <w:trPr>
          <w:cantSplit/>
        </w:trPr>
        <w:tc>
          <w:tcPr>
            <w:tcW w:w="713" w:type="dxa"/>
            <w:tcBorders>
              <w:top w:val="single" w:sz="6" w:space="0" w:color="auto"/>
              <w:bottom w:val="single" w:sz="6" w:space="0" w:color="auto"/>
            </w:tcBorders>
            <w:shd w:val="clear" w:color="auto" w:fill="auto"/>
          </w:tcPr>
          <w:p w14:paraId="00D46D1C" w14:textId="77777777" w:rsidR="00EE3A11" w:rsidRPr="002F6A28" w:rsidRDefault="00E67FA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6A6E76" w14:textId="77777777" w:rsidR="00EE3A11" w:rsidRPr="002F6A28" w:rsidRDefault="00E67FA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4th quarter 2023</w:t>
            </w:r>
            <w:bookmarkEnd w:id="33"/>
          </w:p>
          <w:p w14:paraId="3E1C93EA" w14:textId="77777777" w:rsidR="00EE3A11" w:rsidRPr="002F6A28" w:rsidRDefault="00E67FA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following publication in the Official Journal of the EU</w:t>
            </w:r>
            <w:bookmarkEnd w:id="36"/>
          </w:p>
        </w:tc>
      </w:tr>
      <w:tr w:rsidR="00411636" w14:paraId="4568E81F" w14:textId="77777777" w:rsidTr="0069259F">
        <w:tc>
          <w:tcPr>
            <w:tcW w:w="713" w:type="dxa"/>
            <w:tcBorders>
              <w:top w:val="single" w:sz="6" w:space="0" w:color="auto"/>
              <w:bottom w:val="single" w:sz="6" w:space="0" w:color="auto"/>
            </w:tcBorders>
            <w:shd w:val="clear" w:color="auto" w:fill="auto"/>
          </w:tcPr>
          <w:p w14:paraId="1F5C6522" w14:textId="77777777" w:rsidR="00F85C99" w:rsidRPr="002F6A28" w:rsidRDefault="00E67F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6A079AE" w14:textId="77777777" w:rsidR="00F85C99" w:rsidRPr="002F6A28" w:rsidRDefault="00E67FA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11636" w14:paraId="32F3F350" w14:textId="77777777" w:rsidTr="0069259F">
        <w:tc>
          <w:tcPr>
            <w:tcW w:w="713" w:type="dxa"/>
            <w:tcBorders>
              <w:top w:val="single" w:sz="6" w:space="0" w:color="auto"/>
            </w:tcBorders>
            <w:shd w:val="clear" w:color="auto" w:fill="auto"/>
          </w:tcPr>
          <w:p w14:paraId="649DB3EB" w14:textId="77777777" w:rsidR="00F85C99" w:rsidRPr="002F6A28" w:rsidRDefault="00E67FA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0C233A" w14:textId="77777777" w:rsidR="00F85C99" w:rsidRPr="002F6A28" w:rsidRDefault="00E67FA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9B02E48" w14:textId="77777777" w:rsidR="00EE3A11" w:rsidRPr="00940569" w:rsidRDefault="00E67FA2" w:rsidP="00B16145">
            <w:pPr>
              <w:keepNext/>
              <w:keepLines/>
              <w:rPr>
                <w:bCs/>
                <w:lang w:val="fr-CH"/>
              </w:rPr>
            </w:pPr>
            <w:r w:rsidRPr="00940569">
              <w:rPr>
                <w:bCs/>
                <w:lang w:val="fr-CH"/>
              </w:rPr>
              <w:t>European Commission,</w:t>
            </w:r>
          </w:p>
          <w:p w14:paraId="16EC3B34" w14:textId="77777777" w:rsidR="00EE3A11" w:rsidRPr="00940569" w:rsidRDefault="00E67FA2" w:rsidP="00B16145">
            <w:pPr>
              <w:keepNext/>
              <w:keepLines/>
              <w:rPr>
                <w:bCs/>
                <w:lang w:val="fr-CH"/>
              </w:rPr>
            </w:pPr>
            <w:r w:rsidRPr="00940569">
              <w:rPr>
                <w:bCs/>
                <w:lang w:val="fr-CH"/>
              </w:rPr>
              <w:t>EU-TBT Enquiry Point,</w:t>
            </w:r>
          </w:p>
          <w:p w14:paraId="7FA7F275" w14:textId="77777777" w:rsidR="00EE3A11" w:rsidRPr="00940569" w:rsidRDefault="00E67FA2" w:rsidP="00B16145">
            <w:pPr>
              <w:keepNext/>
              <w:keepLines/>
              <w:rPr>
                <w:bCs/>
                <w:lang w:val="fr-CH"/>
              </w:rPr>
            </w:pPr>
            <w:r w:rsidRPr="00940569">
              <w:rPr>
                <w:bCs/>
                <w:lang w:val="fr-CH"/>
              </w:rPr>
              <w:t>Fax: + (32) 2 299 80 43,</w:t>
            </w:r>
          </w:p>
          <w:p w14:paraId="690D7806" w14:textId="77777777" w:rsidR="00EE3A11" w:rsidRPr="00940569" w:rsidRDefault="00E67FA2" w:rsidP="00B16145">
            <w:pPr>
              <w:keepNext/>
              <w:keepLines/>
              <w:rPr>
                <w:bCs/>
                <w:lang w:val="fr-CH"/>
              </w:rPr>
            </w:pPr>
            <w:r w:rsidRPr="00940569">
              <w:rPr>
                <w:bCs/>
                <w:lang w:val="fr-CH"/>
              </w:rPr>
              <w:t xml:space="preserve">E-mail: </w:t>
            </w:r>
            <w:hyperlink r:id="rId14" w:history="1">
              <w:r w:rsidRPr="00940569">
                <w:rPr>
                  <w:bCs/>
                  <w:color w:val="0000FF"/>
                  <w:u w:val="single"/>
                  <w:lang w:val="fr-CH"/>
                </w:rPr>
                <w:t>grow-eu-tbt@ec.europa.eu</w:t>
              </w:r>
            </w:hyperlink>
          </w:p>
          <w:p w14:paraId="44C27265" w14:textId="77777777" w:rsidR="00EE3A11" w:rsidRPr="00A12DDE" w:rsidRDefault="00E67FA2" w:rsidP="00B16145">
            <w:pPr>
              <w:keepNext/>
              <w:keepLines/>
              <w:rPr>
                <w:bCs/>
              </w:rPr>
            </w:pPr>
            <w:r w:rsidRPr="00A12DDE">
              <w:rPr>
                <w:bCs/>
              </w:rPr>
              <w:t xml:space="preserve">The text is available on the EU-TBT Website : </w:t>
            </w:r>
            <w:hyperlink r:id="rId15" w:tgtFrame="_blank" w:history="1">
              <w:r w:rsidRPr="00A12DDE">
                <w:rPr>
                  <w:bCs/>
                  <w:color w:val="0000FF"/>
                  <w:u w:val="single"/>
                </w:rPr>
                <w:t>http://ec.europa.eu/growth/tools-databases/tbt/en/</w:t>
              </w:r>
            </w:hyperlink>
          </w:p>
          <w:p w14:paraId="72AB5BF6" w14:textId="77777777" w:rsidR="00EE3A11" w:rsidRPr="00A12DDE" w:rsidRDefault="00610A49" w:rsidP="00B16145">
            <w:pPr>
              <w:keepNext/>
              <w:keepLines/>
              <w:pBdr>
                <w:top w:val="none" w:sz="0" w:space="4" w:color="auto"/>
              </w:pBdr>
              <w:spacing w:after="120"/>
              <w:rPr>
                <w:bCs/>
              </w:rPr>
            </w:pPr>
            <w:hyperlink r:id="rId16" w:tgtFrame="_blank" w:history="1">
              <w:r w:rsidR="00E67FA2" w:rsidRPr="00A12DDE">
                <w:rPr>
                  <w:bCs/>
                  <w:color w:val="0000FF"/>
                  <w:u w:val="single"/>
                </w:rPr>
                <w:t>https://members.wto.org/crnattachments/2023/TBT/EEC/23_11161_00_e.pdf</w:t>
              </w:r>
            </w:hyperlink>
            <w:bookmarkEnd w:id="42"/>
          </w:p>
        </w:tc>
      </w:tr>
    </w:tbl>
    <w:p w14:paraId="53CA2325"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2E9E" w14:textId="77777777" w:rsidR="00A3677D" w:rsidRDefault="00E67FA2">
      <w:r>
        <w:separator/>
      </w:r>
    </w:p>
  </w:endnote>
  <w:endnote w:type="continuationSeparator" w:id="0">
    <w:p w14:paraId="348AC8D9" w14:textId="77777777" w:rsidR="00A3677D" w:rsidRDefault="00E6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55CC" w14:textId="77777777" w:rsidR="009239F7" w:rsidRPr="002F6A28" w:rsidRDefault="00E67FA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2270" w14:textId="77777777" w:rsidR="009239F7" w:rsidRPr="002F6A28" w:rsidRDefault="00E67FA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8C98" w14:textId="77777777" w:rsidR="00EE3A11" w:rsidRPr="002F6A28" w:rsidRDefault="00E67FA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8697" w14:textId="77777777" w:rsidR="00A3677D" w:rsidRDefault="00E67FA2">
      <w:r>
        <w:separator/>
      </w:r>
    </w:p>
  </w:footnote>
  <w:footnote w:type="continuationSeparator" w:id="0">
    <w:p w14:paraId="02B98D1F" w14:textId="77777777" w:rsidR="00A3677D" w:rsidRDefault="00E6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5844" w14:textId="77777777" w:rsidR="009239F7" w:rsidRPr="002F6A28" w:rsidRDefault="00E67FA2" w:rsidP="009239F7">
    <w:pPr>
      <w:pStyle w:val="Header"/>
      <w:pBdr>
        <w:bottom w:val="single" w:sz="4" w:space="1" w:color="auto"/>
      </w:pBdr>
      <w:tabs>
        <w:tab w:val="clear" w:pos="4513"/>
        <w:tab w:val="clear" w:pos="9027"/>
      </w:tabs>
      <w:jc w:val="center"/>
    </w:pPr>
    <w:r w:rsidRPr="002F6A28">
      <w:t>tbtSymbol</w:t>
    </w:r>
  </w:p>
  <w:p w14:paraId="2620DD3B" w14:textId="77777777" w:rsidR="009239F7" w:rsidRPr="002F6A28" w:rsidRDefault="009239F7" w:rsidP="009239F7">
    <w:pPr>
      <w:pStyle w:val="Header"/>
      <w:pBdr>
        <w:bottom w:val="single" w:sz="4" w:space="1" w:color="auto"/>
      </w:pBdr>
      <w:tabs>
        <w:tab w:val="clear" w:pos="4513"/>
        <w:tab w:val="clear" w:pos="9027"/>
      </w:tabs>
      <w:jc w:val="center"/>
    </w:pPr>
  </w:p>
  <w:p w14:paraId="55D3E092" w14:textId="77777777" w:rsidR="009239F7" w:rsidRPr="002F6A28" w:rsidRDefault="00E67F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5B2D7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96B" w14:textId="77777777" w:rsidR="009239F7" w:rsidRPr="002F6A28" w:rsidRDefault="00E67FA2" w:rsidP="009239F7">
    <w:pPr>
      <w:pStyle w:val="Header"/>
      <w:pBdr>
        <w:bottom w:val="single" w:sz="4" w:space="1" w:color="auto"/>
      </w:pBdr>
      <w:tabs>
        <w:tab w:val="clear" w:pos="4513"/>
        <w:tab w:val="clear" w:pos="9027"/>
      </w:tabs>
      <w:jc w:val="center"/>
    </w:pPr>
    <w:bookmarkStart w:id="43" w:name="spsSymbolHeader"/>
    <w:r w:rsidRPr="002F6A28">
      <w:t>G/TBT/N/EU/996</w:t>
    </w:r>
    <w:bookmarkEnd w:id="43"/>
  </w:p>
  <w:p w14:paraId="16553C49" w14:textId="77777777" w:rsidR="009239F7" w:rsidRPr="002F6A28" w:rsidRDefault="009239F7" w:rsidP="009239F7">
    <w:pPr>
      <w:pStyle w:val="Header"/>
      <w:pBdr>
        <w:bottom w:val="single" w:sz="4" w:space="1" w:color="auto"/>
      </w:pBdr>
      <w:tabs>
        <w:tab w:val="clear" w:pos="4513"/>
        <w:tab w:val="clear" w:pos="9027"/>
      </w:tabs>
      <w:jc w:val="center"/>
    </w:pPr>
  </w:p>
  <w:p w14:paraId="5EF66AE6" w14:textId="77777777" w:rsidR="009239F7" w:rsidRPr="002F6A28" w:rsidRDefault="00E67F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6FE41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1636" w14:paraId="755DBC43" w14:textId="77777777" w:rsidTr="008612A9">
      <w:trPr>
        <w:trHeight w:val="240"/>
        <w:jc w:val="center"/>
      </w:trPr>
      <w:tc>
        <w:tcPr>
          <w:tcW w:w="3794" w:type="dxa"/>
          <w:shd w:val="clear" w:color="auto" w:fill="FFFFFF"/>
          <w:tcMar>
            <w:left w:w="108" w:type="dxa"/>
            <w:right w:w="108" w:type="dxa"/>
          </w:tcMar>
          <w:vAlign w:val="center"/>
        </w:tcPr>
        <w:p w14:paraId="1712DF4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A0D2553" w14:textId="77777777" w:rsidR="00ED54E0" w:rsidRPr="009239F7" w:rsidRDefault="00ED54E0" w:rsidP="00B801E9">
          <w:pPr>
            <w:jc w:val="right"/>
            <w:rPr>
              <w:b/>
              <w:color w:val="FF0000"/>
              <w:szCs w:val="16"/>
            </w:rPr>
          </w:pPr>
        </w:p>
      </w:tc>
    </w:tr>
    <w:bookmarkEnd w:id="44"/>
    <w:tr w:rsidR="00411636" w14:paraId="1A8685E2" w14:textId="77777777" w:rsidTr="008612A9">
      <w:trPr>
        <w:trHeight w:val="213"/>
        <w:jc w:val="center"/>
      </w:trPr>
      <w:tc>
        <w:tcPr>
          <w:tcW w:w="3794" w:type="dxa"/>
          <w:vMerge w:val="restart"/>
          <w:shd w:val="clear" w:color="auto" w:fill="FFFFFF"/>
          <w:tcMar>
            <w:left w:w="0" w:type="dxa"/>
            <w:right w:w="0" w:type="dxa"/>
          </w:tcMar>
        </w:tcPr>
        <w:p w14:paraId="280C51C0" w14:textId="77777777" w:rsidR="00ED54E0" w:rsidRPr="009239F7" w:rsidRDefault="00E67FA2" w:rsidP="00B801E9">
          <w:pPr>
            <w:jc w:val="left"/>
          </w:pPr>
          <w:r>
            <w:rPr>
              <w:noProof/>
              <w:lang w:eastAsia="en-GB"/>
            </w:rPr>
            <w:drawing>
              <wp:inline distT="0" distB="0" distL="0" distR="0" wp14:anchorId="63944F74" wp14:editId="4BB8F11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41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A8EC84" w14:textId="77777777" w:rsidR="00ED54E0" w:rsidRPr="009239F7" w:rsidRDefault="00ED54E0" w:rsidP="00B801E9">
          <w:pPr>
            <w:jc w:val="right"/>
            <w:rPr>
              <w:b/>
              <w:szCs w:val="16"/>
            </w:rPr>
          </w:pPr>
        </w:p>
      </w:tc>
    </w:tr>
    <w:tr w:rsidR="00411636" w14:paraId="676D18D3" w14:textId="77777777" w:rsidTr="008612A9">
      <w:trPr>
        <w:trHeight w:val="868"/>
        <w:jc w:val="center"/>
      </w:trPr>
      <w:tc>
        <w:tcPr>
          <w:tcW w:w="3794" w:type="dxa"/>
          <w:vMerge/>
          <w:shd w:val="clear" w:color="auto" w:fill="FFFFFF"/>
          <w:tcMar>
            <w:left w:w="108" w:type="dxa"/>
            <w:right w:w="108" w:type="dxa"/>
          </w:tcMar>
        </w:tcPr>
        <w:p w14:paraId="35CAE16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351B82" w14:textId="77777777" w:rsidR="009239F7" w:rsidRPr="002F6A28" w:rsidRDefault="00E67FA2" w:rsidP="00B801E9">
          <w:pPr>
            <w:jc w:val="right"/>
            <w:rPr>
              <w:b/>
              <w:szCs w:val="16"/>
            </w:rPr>
          </w:pPr>
          <w:bookmarkStart w:id="45" w:name="bmkSymbols"/>
          <w:r w:rsidRPr="002F6A28">
            <w:rPr>
              <w:b/>
              <w:szCs w:val="16"/>
            </w:rPr>
            <w:t>G/TBT/N/EU/996</w:t>
          </w:r>
          <w:bookmarkEnd w:id="45"/>
        </w:p>
      </w:tc>
    </w:tr>
    <w:tr w:rsidR="00411636" w14:paraId="36C83985" w14:textId="77777777" w:rsidTr="008612A9">
      <w:trPr>
        <w:trHeight w:val="240"/>
        <w:jc w:val="center"/>
      </w:trPr>
      <w:tc>
        <w:tcPr>
          <w:tcW w:w="3794" w:type="dxa"/>
          <w:vMerge/>
          <w:shd w:val="clear" w:color="auto" w:fill="FFFFFF"/>
          <w:tcMar>
            <w:left w:w="108" w:type="dxa"/>
            <w:right w:w="108" w:type="dxa"/>
          </w:tcMar>
          <w:vAlign w:val="center"/>
        </w:tcPr>
        <w:p w14:paraId="5F5E453F" w14:textId="77777777" w:rsidR="00ED54E0" w:rsidRPr="009239F7" w:rsidRDefault="00ED54E0" w:rsidP="00B801E9"/>
      </w:tc>
      <w:tc>
        <w:tcPr>
          <w:tcW w:w="5448" w:type="dxa"/>
          <w:gridSpan w:val="2"/>
          <w:shd w:val="clear" w:color="auto" w:fill="FFFFFF"/>
          <w:tcMar>
            <w:left w:w="108" w:type="dxa"/>
            <w:right w:w="108" w:type="dxa"/>
          </w:tcMar>
          <w:vAlign w:val="center"/>
        </w:tcPr>
        <w:p w14:paraId="3E935F9F" w14:textId="2C51D3C2" w:rsidR="00ED54E0" w:rsidRPr="009239F7" w:rsidRDefault="00945F7F" w:rsidP="00B801E9">
          <w:pPr>
            <w:jc w:val="right"/>
            <w:rPr>
              <w:szCs w:val="16"/>
            </w:rPr>
          </w:pPr>
          <w:bookmarkStart w:id="46" w:name="spsDateDistribution"/>
          <w:bookmarkStart w:id="47" w:name="bmkDate"/>
          <w:bookmarkEnd w:id="46"/>
          <w:bookmarkEnd w:id="47"/>
          <w:r>
            <w:rPr>
              <w:szCs w:val="16"/>
            </w:rPr>
            <w:t>20 July 2023</w:t>
          </w:r>
        </w:p>
      </w:tc>
    </w:tr>
    <w:tr w:rsidR="00411636" w14:paraId="1D75C6B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53663A" w14:textId="3331E516" w:rsidR="00ED54E0" w:rsidRPr="009239F7" w:rsidRDefault="00E67FA2" w:rsidP="0097650D">
          <w:pPr>
            <w:jc w:val="left"/>
            <w:rPr>
              <w:b/>
            </w:rPr>
          </w:pPr>
          <w:bookmarkStart w:id="48" w:name="bmkSerial"/>
          <w:r w:rsidRPr="002F6A28">
            <w:rPr>
              <w:color w:val="FF0000"/>
              <w:szCs w:val="16"/>
            </w:rPr>
            <w:t>(</w:t>
          </w:r>
          <w:bookmarkStart w:id="49" w:name="spsSerialNumber"/>
          <w:bookmarkEnd w:id="49"/>
          <w:r w:rsidR="00945F7F">
            <w:rPr>
              <w:color w:val="FF0000"/>
              <w:szCs w:val="16"/>
            </w:rPr>
            <w:t>23-</w:t>
          </w:r>
          <w:r w:rsidR="00940569">
            <w:rPr>
              <w:color w:val="FF0000"/>
              <w:szCs w:val="16"/>
            </w:rPr>
            <w:t>4943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C85A0C7" w14:textId="77777777" w:rsidR="00ED54E0" w:rsidRPr="009239F7" w:rsidRDefault="00E67FA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11636" w14:paraId="5B8439A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560F56" w14:textId="77777777" w:rsidR="00ED54E0" w:rsidRPr="009239F7" w:rsidRDefault="00E67FA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2972571" w14:textId="77777777" w:rsidR="00ED54E0" w:rsidRPr="002F6A28" w:rsidRDefault="00E67FA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AA511E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34DC0C">
      <w:start w:val="1"/>
      <w:numFmt w:val="decimal"/>
      <w:pStyle w:val="SummaryText"/>
      <w:lvlText w:val="%1."/>
      <w:lvlJc w:val="left"/>
      <w:pPr>
        <w:ind w:left="360" w:hanging="360"/>
      </w:pPr>
    </w:lvl>
    <w:lvl w:ilvl="1" w:tplc="3C5E6D60" w:tentative="1">
      <w:start w:val="1"/>
      <w:numFmt w:val="lowerLetter"/>
      <w:lvlText w:val="%2."/>
      <w:lvlJc w:val="left"/>
      <w:pPr>
        <w:ind w:left="1080" w:hanging="360"/>
      </w:pPr>
    </w:lvl>
    <w:lvl w:ilvl="2" w:tplc="8DE4EE54" w:tentative="1">
      <w:start w:val="1"/>
      <w:numFmt w:val="lowerRoman"/>
      <w:lvlText w:val="%3."/>
      <w:lvlJc w:val="right"/>
      <w:pPr>
        <w:ind w:left="1800" w:hanging="180"/>
      </w:pPr>
    </w:lvl>
    <w:lvl w:ilvl="3" w:tplc="8FAAD8BA" w:tentative="1">
      <w:start w:val="1"/>
      <w:numFmt w:val="decimal"/>
      <w:lvlText w:val="%4."/>
      <w:lvlJc w:val="left"/>
      <w:pPr>
        <w:ind w:left="2520" w:hanging="360"/>
      </w:pPr>
    </w:lvl>
    <w:lvl w:ilvl="4" w:tplc="DB2A8D8C" w:tentative="1">
      <w:start w:val="1"/>
      <w:numFmt w:val="lowerLetter"/>
      <w:lvlText w:val="%5."/>
      <w:lvlJc w:val="left"/>
      <w:pPr>
        <w:ind w:left="3240" w:hanging="360"/>
      </w:pPr>
    </w:lvl>
    <w:lvl w:ilvl="5" w:tplc="A5646A90" w:tentative="1">
      <w:start w:val="1"/>
      <w:numFmt w:val="lowerRoman"/>
      <w:lvlText w:val="%6."/>
      <w:lvlJc w:val="right"/>
      <w:pPr>
        <w:ind w:left="3960" w:hanging="180"/>
      </w:pPr>
    </w:lvl>
    <w:lvl w:ilvl="6" w:tplc="8EDE61BA" w:tentative="1">
      <w:start w:val="1"/>
      <w:numFmt w:val="decimal"/>
      <w:lvlText w:val="%7."/>
      <w:lvlJc w:val="left"/>
      <w:pPr>
        <w:ind w:left="4680" w:hanging="360"/>
      </w:pPr>
    </w:lvl>
    <w:lvl w:ilvl="7" w:tplc="8A4AD258" w:tentative="1">
      <w:start w:val="1"/>
      <w:numFmt w:val="lowerLetter"/>
      <w:lvlText w:val="%8."/>
      <w:lvlJc w:val="left"/>
      <w:pPr>
        <w:ind w:left="5400" w:hanging="360"/>
      </w:pPr>
    </w:lvl>
    <w:lvl w:ilvl="8" w:tplc="FE1629DC" w:tentative="1">
      <w:start w:val="1"/>
      <w:numFmt w:val="lowerRoman"/>
      <w:lvlText w:val="%9."/>
      <w:lvlJc w:val="right"/>
      <w:pPr>
        <w:ind w:left="6120" w:hanging="180"/>
      </w:pPr>
    </w:lvl>
  </w:abstractNum>
  <w:num w:numId="1" w16cid:durableId="861168027">
    <w:abstractNumId w:val="9"/>
  </w:num>
  <w:num w:numId="2" w16cid:durableId="264310012">
    <w:abstractNumId w:val="7"/>
  </w:num>
  <w:num w:numId="3" w16cid:durableId="515506308">
    <w:abstractNumId w:val="6"/>
  </w:num>
  <w:num w:numId="4" w16cid:durableId="1507163072">
    <w:abstractNumId w:val="5"/>
  </w:num>
  <w:num w:numId="5" w16cid:durableId="623317831">
    <w:abstractNumId w:val="4"/>
  </w:num>
  <w:num w:numId="6" w16cid:durableId="1495142186">
    <w:abstractNumId w:val="12"/>
  </w:num>
  <w:num w:numId="7" w16cid:durableId="1207061451">
    <w:abstractNumId w:val="11"/>
  </w:num>
  <w:num w:numId="8" w16cid:durableId="1743215010">
    <w:abstractNumId w:val="10"/>
  </w:num>
  <w:num w:numId="9" w16cid:durableId="1364356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440449">
    <w:abstractNumId w:val="13"/>
  </w:num>
  <w:num w:numId="11" w16cid:durableId="1371764877">
    <w:abstractNumId w:val="8"/>
  </w:num>
  <w:num w:numId="12" w16cid:durableId="1451313443">
    <w:abstractNumId w:val="3"/>
  </w:num>
  <w:num w:numId="13" w16cid:durableId="2137484642">
    <w:abstractNumId w:val="2"/>
  </w:num>
  <w:num w:numId="14" w16cid:durableId="1582369143">
    <w:abstractNumId w:val="1"/>
  </w:num>
  <w:num w:numId="15" w16cid:durableId="9432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0235"/>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163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0A49"/>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0569"/>
    <w:rsid w:val="00945F7F"/>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3677D"/>
    <w:rsid w:val="00A6057A"/>
    <w:rsid w:val="00A611FF"/>
    <w:rsid w:val="00A63DF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67FA2"/>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doi.org/10.2903/j.efsa.2023.79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lex.europa.eu/legal-content/EN/ALL/?uri=CELEX:32015R04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EEC/23_11161_00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LL/?uri=CELEX:32011R05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growth/tools-databases/tbt/en/" TargetMode="External"/><Relationship Id="rId23" Type="http://schemas.openxmlformats.org/officeDocument/2006/relationships/fontTable" Target="fontTable.xml"/><Relationship Id="rId10" Type="http://schemas.openxmlformats.org/officeDocument/2006/relationships/hyperlink" Target="https://eur-lex.europa.eu/legal-content/EN/ALL/?uri=CELEX:32009R11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mailto:grow-eu-tbt@ec.europa.e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53bdf773-4cc2-4818-b5c7-c8fef8c65307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3028AAC-4200-4BF5-9E36-7515D008786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969</Words>
  <Characters>5651</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2023-07-20T08:34:00Z</dcterms:created>
  <dcterms:modified xsi:type="dcterms:W3CDTF">2023-07-20T09:08:00Z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53bdf773-4cc2-4818-b5c7-c8fef8c65307</vt:lpwstr>
  </property>
  <property fmtid="{D5CDD505-2E9C-101B-9397-08002B2CF9AE}" pid="4" name="WTOCLASSIFICATION">
    <vt:lpwstr>WTO OFFICIAL</vt:lpwstr>
  </property>
</Properties>
</file>