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9333" w14:textId="77777777" w:rsidR="009239F7" w:rsidRPr="002F6A28" w:rsidRDefault="00D24F2D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5ECF7D" w14:textId="77777777" w:rsidR="009239F7" w:rsidRPr="002F6A28" w:rsidRDefault="00D24F2D" w:rsidP="002F6A28">
      <w:pPr>
        <w:jc w:val="center"/>
      </w:pPr>
      <w:r w:rsidRPr="002F6A28">
        <w:t>The following notification is being circulated in accordance with Article 10.6</w:t>
      </w:r>
    </w:p>
    <w:p w14:paraId="654ABE9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1B0CA6" w14:paraId="39E7045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F7E419A" w14:textId="77777777" w:rsidR="00F85C99" w:rsidRPr="002F6A28" w:rsidRDefault="00D24F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9A7AB3B" w14:textId="77777777" w:rsidR="00F85C99" w:rsidRPr="002F6A28" w:rsidRDefault="00D24F2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Philippines</w:t>
            </w:r>
            <w:bookmarkEnd w:id="1"/>
            <w:r w:rsidRPr="002F6A28">
              <w:t xml:space="preserve"> </w:t>
            </w:r>
          </w:p>
          <w:p w14:paraId="2060BAB2" w14:textId="77777777" w:rsidR="00F85C99" w:rsidRPr="002F6A28" w:rsidRDefault="00D24F2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B0CA6" w14:paraId="498453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EA152" w14:textId="77777777" w:rsidR="00F85C99" w:rsidRPr="002F6A28" w:rsidRDefault="00D24F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FC292" w14:textId="77777777" w:rsidR="00F85C99" w:rsidRPr="002F6A28" w:rsidRDefault="00D24F2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9F83793" w14:textId="482A60C5" w:rsidR="00C3624B" w:rsidRPr="002F6A28" w:rsidRDefault="00D24F2D" w:rsidP="00155128">
            <w:pPr>
              <w:spacing w:before="120" w:after="120"/>
              <w:jc w:val="left"/>
            </w:pPr>
            <w:r w:rsidRPr="002F6A28">
              <w:t>Ms. Pilar Marilyn M. Pagayunan</w:t>
            </w:r>
            <w:r w:rsidRPr="002F6A28">
              <w:br/>
              <w:t>Director IV</w:t>
            </w:r>
            <w:r w:rsidRPr="002F6A28">
              <w:br/>
              <w:t>Center for Food Regulation and Research (CFRR)</w:t>
            </w:r>
            <w:r w:rsidRPr="002F6A28">
              <w:br/>
              <w:t>Food and Drug Administration</w:t>
            </w:r>
            <w:r w:rsidRPr="002F6A28">
              <w:br/>
              <w:t xml:space="preserve">Department </w:t>
            </w:r>
            <w:r>
              <w:t>o</w:t>
            </w:r>
            <w:r w:rsidRPr="002F6A28">
              <w:t xml:space="preserve">f Health </w:t>
            </w:r>
            <w:bookmarkEnd w:id="5"/>
          </w:p>
          <w:p w14:paraId="5278E8C1" w14:textId="77777777" w:rsidR="00F85C99" w:rsidRPr="002F6A28" w:rsidRDefault="00D24F2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386129A" w14:textId="69F33077" w:rsidR="00C3624B" w:rsidRPr="002F6A28" w:rsidRDefault="00D24F2D" w:rsidP="00AA646C">
            <w:pPr>
              <w:spacing w:after="120"/>
              <w:jc w:val="left"/>
            </w:pPr>
            <w:r w:rsidRPr="002F6A28">
              <w:t>Ms. Ronita Yasoña</w:t>
            </w:r>
            <w:r w:rsidRPr="002F6A28">
              <w:br/>
              <w:t>Center for Food Regulation and Research (CFRR)</w:t>
            </w:r>
            <w:r w:rsidRPr="002F6A28">
              <w:br/>
              <w:t>Food and Drug Administration</w:t>
            </w:r>
            <w:r w:rsidRPr="002F6A28">
              <w:br/>
              <w:t xml:space="preserve">Department </w:t>
            </w:r>
            <w:r>
              <w:t>o</w:t>
            </w:r>
            <w:r w:rsidRPr="002F6A28">
              <w:t xml:space="preserve">f Health 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mrsyasona@fda.gov.ph</w:t>
              </w:r>
            </w:hyperlink>
            <w:r w:rsidRPr="002F6A28">
              <w:t xml:space="preserve">; </w:t>
            </w:r>
            <w:hyperlink r:id="rId8" w:history="1">
              <w:r w:rsidRPr="002F6A28">
                <w:rPr>
                  <w:color w:val="0000FF"/>
                  <w:u w:val="single"/>
                </w:rPr>
                <w:t>mavspinion@yahoo.com</w:t>
              </w:r>
            </w:hyperlink>
            <w:bookmarkEnd w:id="7"/>
          </w:p>
        </w:tc>
      </w:tr>
      <w:tr w:rsidR="001B0CA6" w14:paraId="23D707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C4AAC" w14:textId="77777777" w:rsidR="00F85C99" w:rsidRPr="002F6A28" w:rsidRDefault="00D24F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98DF0" w14:textId="77777777" w:rsidR="00F85C99" w:rsidRPr="0058336F" w:rsidRDefault="00D24F2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B0CA6" w14:paraId="44A220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803D7" w14:textId="77777777" w:rsidR="00F85C99" w:rsidRPr="002F6A28" w:rsidRDefault="00D24F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8026E" w14:textId="7C166FB6" w:rsidR="00F85C99" w:rsidRPr="002F6A28" w:rsidRDefault="00D24F2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Salabat or Instant Ginger Drink</w:t>
            </w:r>
            <w:bookmarkStart w:id="20" w:name="sps3a"/>
            <w:bookmarkEnd w:id="20"/>
          </w:p>
        </w:tc>
      </w:tr>
      <w:tr w:rsidR="001B0CA6" w14:paraId="3756AE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4C115" w14:textId="77777777" w:rsidR="00F85C99" w:rsidRPr="002F6A28" w:rsidRDefault="00D24F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0101B" w14:textId="77777777" w:rsidR="00F85C99" w:rsidRPr="002F6A28" w:rsidRDefault="00D24F2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Administrative Order No: ______ Standards of Quality for the Processing Packaging and Labelling of Salabat or Instant Ginger Drink.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B0CA6" w14:paraId="4D4F76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53F23" w14:textId="77777777" w:rsidR="00F85C99" w:rsidRPr="002F6A28" w:rsidRDefault="00D24F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3D87E" w14:textId="77777777" w:rsidR="00F85C99" w:rsidRPr="002F6A28" w:rsidRDefault="00D24F2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Administrative Order aims to:</w:t>
            </w:r>
          </w:p>
          <w:p w14:paraId="729504C8" w14:textId="77777777" w:rsidR="00FE448B" w:rsidRPr="00C379C8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</w:pPr>
            <w:r w:rsidRPr="00C379C8">
              <w:t>establish the standard of quality for the processing packaging and labelling of salabat or instant ginger drink, and;</w:t>
            </w:r>
          </w:p>
          <w:p w14:paraId="59E55089" w14:textId="77777777" w:rsidR="00FE448B" w:rsidRPr="00C379C8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</w:pPr>
            <w:r w:rsidRPr="00C379C8">
              <w:t>serve as a guide for manufacturers, traders, importers/distributors of salabat or instant ginger drink.</w:t>
            </w:r>
          </w:p>
        </w:tc>
      </w:tr>
      <w:tr w:rsidR="001B0CA6" w14:paraId="36BD01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3F6CE" w14:textId="77777777" w:rsidR="00F85C99" w:rsidRPr="002F6A28" w:rsidRDefault="00D24F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03924" w14:textId="77777777" w:rsidR="00F85C99" w:rsidRPr="002F6A28" w:rsidRDefault="00D24F2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</w:t>
            </w:r>
            <w:bookmarkStart w:id="27" w:name="sps7f"/>
            <w:bookmarkEnd w:id="27"/>
          </w:p>
        </w:tc>
      </w:tr>
      <w:tr w:rsidR="001B0CA6" w14:paraId="170A4F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0395C" w14:textId="77777777" w:rsidR="00F85C99" w:rsidRPr="002F6A28" w:rsidRDefault="00D24F2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53C04" w14:textId="77777777" w:rsidR="00072B36" w:rsidRPr="002F6A28" w:rsidRDefault="00D24F2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7DC24C4" w14:textId="77777777" w:rsidR="00C3624B" w:rsidRPr="00D24F2D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</w:pPr>
            <w:r w:rsidRPr="00D24F2D">
              <w:t>Food Safety Act of the Philippines, 2013</w:t>
            </w:r>
          </w:p>
          <w:p w14:paraId="637B5FB3" w14:textId="77777777" w:rsidR="00C3624B" w:rsidRPr="00F745E6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  <w:rPr>
                <w:lang w:val="es-ES"/>
              </w:rPr>
            </w:pPr>
            <w:r w:rsidRPr="00F745E6">
              <w:rPr>
                <w:lang w:val="es-ES"/>
              </w:rPr>
              <w:t>FDA A.O. No. 153 s. 2004 (cGMP)</w:t>
            </w:r>
          </w:p>
          <w:p w14:paraId="0F133078" w14:textId="77777777" w:rsidR="00C3624B" w:rsidRPr="00D24F2D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</w:pPr>
            <w:r w:rsidRPr="00D24F2D">
              <w:lastRenderedPageBreak/>
              <w:t>FDA B.C. No. 016 s. 2006</w:t>
            </w:r>
          </w:p>
          <w:p w14:paraId="6E372848" w14:textId="77777777" w:rsidR="00C3624B" w:rsidRPr="00D24F2D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</w:pPr>
            <w:r w:rsidRPr="00D24F2D">
              <w:t>FDA A.O. No. 0030 s. 2014</w:t>
            </w:r>
          </w:p>
          <w:p w14:paraId="5511574E" w14:textId="77777777" w:rsidR="00C3624B" w:rsidRPr="00D24F2D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</w:pPr>
            <w:r w:rsidRPr="00D24F2D">
              <w:t>Codex General Standard for Food Additives (GSFA) Codex Stan 192-1995:2013 Revision</w:t>
            </w:r>
          </w:p>
          <w:p w14:paraId="154F1CA3" w14:textId="77777777" w:rsidR="00C3624B" w:rsidRPr="002F6A28" w:rsidRDefault="00D24F2D" w:rsidP="00D24F2D">
            <w:pPr>
              <w:numPr>
                <w:ilvl w:val="0"/>
                <w:numId w:val="16"/>
              </w:numPr>
              <w:spacing w:before="120" w:after="120"/>
              <w:ind w:left="846"/>
              <w:rPr>
                <w:bCs/>
              </w:rPr>
            </w:pPr>
            <w:r w:rsidRPr="00D24F2D">
              <w:t>Code Stan 192-1995</w:t>
            </w:r>
          </w:p>
        </w:tc>
      </w:tr>
      <w:tr w:rsidR="001B0CA6" w14:paraId="2AFAABC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2CEAD" w14:textId="77777777" w:rsidR="00EE3A11" w:rsidRPr="002F6A28" w:rsidRDefault="00D24F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F665D" w14:textId="77777777" w:rsidR="00EE3A11" w:rsidRPr="002F6A28" w:rsidRDefault="00D24F2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 xml:space="preserve">15 days after filing at the UP Law Center and publication in newspaper of general circulation </w:t>
            </w:r>
            <w:bookmarkEnd w:id="31"/>
          </w:p>
          <w:p w14:paraId="5E66DB5F" w14:textId="77777777" w:rsidR="00EE3A11" w:rsidRPr="002F6A28" w:rsidRDefault="00D24F2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15 days after filing at the UP Law Center and publication in newspaper of general circulation </w:t>
            </w:r>
            <w:bookmarkEnd w:id="34"/>
          </w:p>
        </w:tc>
      </w:tr>
      <w:tr w:rsidR="001B0CA6" w14:paraId="1B11B7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D743E" w14:textId="77777777" w:rsidR="00F85C99" w:rsidRPr="002F6A28" w:rsidRDefault="00D24F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16522" w14:textId="77777777" w:rsidR="00F85C99" w:rsidRPr="002F6A28" w:rsidRDefault="00D24F2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30 days from date of notification </w:t>
            </w:r>
            <w:bookmarkStart w:id="36" w:name="sps12a"/>
            <w:bookmarkEnd w:id="36"/>
          </w:p>
        </w:tc>
      </w:tr>
      <w:tr w:rsidR="001B0CA6" w14:paraId="0E6B728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1C7BCC8" w14:textId="77777777" w:rsidR="00F85C99" w:rsidRPr="002F6A28" w:rsidRDefault="00D24F2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6A2052C" w14:textId="77777777" w:rsidR="00F85C99" w:rsidRPr="002F6A28" w:rsidRDefault="00D24F2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0AD2B86" w14:textId="77777777" w:rsidR="00C3624B" w:rsidRPr="002F6A28" w:rsidRDefault="00F745E6" w:rsidP="00B16145">
            <w:pPr>
              <w:keepNext/>
              <w:keepLines/>
              <w:spacing w:before="120" w:after="120"/>
            </w:pPr>
            <w:hyperlink r:id="rId9" w:history="1">
              <w:r w:rsidR="00D24F2D" w:rsidRPr="002F6A28">
                <w:rPr>
                  <w:color w:val="0000FF"/>
                  <w:u w:val="single"/>
                </w:rPr>
                <w:t>https://members.wto.org/crnattachments/2020/TBT/PHL/20_1179_00_e.pdf</w:t>
              </w:r>
            </w:hyperlink>
            <w:bookmarkEnd w:id="40"/>
          </w:p>
        </w:tc>
      </w:tr>
    </w:tbl>
    <w:p w14:paraId="4B16278C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6CD4" w14:textId="77777777" w:rsidR="00307EF9" w:rsidRDefault="00D24F2D">
      <w:r>
        <w:separator/>
      </w:r>
    </w:p>
  </w:endnote>
  <w:endnote w:type="continuationSeparator" w:id="0">
    <w:p w14:paraId="47416123" w14:textId="77777777" w:rsidR="00307EF9" w:rsidRDefault="00D2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FE21" w14:textId="77777777" w:rsidR="009239F7" w:rsidRPr="002F6A28" w:rsidRDefault="00D24F2D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80E68" w14:textId="77777777" w:rsidR="009239F7" w:rsidRPr="002F6A28" w:rsidRDefault="00D24F2D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0510" w14:textId="77777777" w:rsidR="00EE3A11" w:rsidRPr="002F6A28" w:rsidRDefault="00D24F2D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9C46B" w14:textId="77777777" w:rsidR="00307EF9" w:rsidRDefault="00D24F2D">
      <w:r>
        <w:separator/>
      </w:r>
    </w:p>
  </w:footnote>
  <w:footnote w:type="continuationSeparator" w:id="0">
    <w:p w14:paraId="7BDE3193" w14:textId="77777777" w:rsidR="00307EF9" w:rsidRDefault="00D2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0B9A" w14:textId="77777777" w:rsidR="009239F7" w:rsidRPr="002F6A28" w:rsidRDefault="00D24F2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10E0A4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AE39BD" w14:textId="77777777" w:rsidR="009239F7" w:rsidRPr="002F6A28" w:rsidRDefault="00D24F2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0E9D49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F52F" w14:textId="77777777" w:rsidR="009239F7" w:rsidRPr="002F6A28" w:rsidRDefault="00D24F2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G/TBT/N/PHL/230</w:t>
    </w:r>
    <w:bookmarkEnd w:id="41"/>
  </w:p>
  <w:p w14:paraId="2824C03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EF34BC" w14:textId="77777777" w:rsidR="009239F7" w:rsidRPr="002F6A28" w:rsidRDefault="00D24F2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C6C49A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0CA6" w14:paraId="1D0ED3B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0F484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4C4C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B0CA6" w14:paraId="74B1AF7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DD4595" w14:textId="77777777" w:rsidR="00ED54E0" w:rsidRPr="009239F7" w:rsidRDefault="00F745E6" w:rsidP="00B801E9">
          <w:pPr>
            <w:jc w:val="left"/>
          </w:pPr>
          <w:r>
            <w:rPr>
              <w:lang w:eastAsia="en-GB"/>
            </w:rPr>
            <w:pict w14:anchorId="548C31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1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C35C1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B0CA6" w14:paraId="5A7D817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A4FD0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D1578" w14:textId="77777777" w:rsidR="009239F7" w:rsidRPr="002F6A28" w:rsidRDefault="00D24F2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G/TBT/N/PHL/230</w:t>
          </w:r>
          <w:bookmarkEnd w:id="43"/>
        </w:p>
      </w:tc>
    </w:tr>
    <w:tr w:rsidR="001B0CA6" w14:paraId="5576519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DBDEF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64AF4" w14:textId="20BE20D6" w:rsidR="00ED54E0" w:rsidRPr="009239F7" w:rsidRDefault="00D24F2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13 February 2020</w:t>
          </w:r>
        </w:p>
      </w:tc>
    </w:tr>
    <w:tr w:rsidR="001B0CA6" w14:paraId="1AE31FC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245390" w14:textId="0E482146" w:rsidR="00ED54E0" w:rsidRPr="009239F7" w:rsidRDefault="00D24F2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F745E6">
            <w:rPr>
              <w:color w:val="FF0000"/>
              <w:szCs w:val="16"/>
            </w:rPr>
            <w:t>1151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A68904" w14:textId="77777777" w:rsidR="00ED54E0" w:rsidRPr="009239F7" w:rsidRDefault="00D24F2D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1B0CA6" w14:paraId="13EE7AC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477136" w14:textId="77777777" w:rsidR="00ED54E0" w:rsidRPr="009239F7" w:rsidRDefault="00D24F2D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CEDC83" w14:textId="77777777" w:rsidR="00ED54E0" w:rsidRPr="002F6A28" w:rsidRDefault="00D24F2D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EE8574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42AB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1C9164" w:tentative="1">
      <w:start w:val="1"/>
      <w:numFmt w:val="lowerLetter"/>
      <w:lvlText w:val="%2."/>
      <w:lvlJc w:val="left"/>
      <w:pPr>
        <w:ind w:left="1080" w:hanging="360"/>
      </w:pPr>
    </w:lvl>
    <w:lvl w:ilvl="2" w:tplc="272E52F2" w:tentative="1">
      <w:start w:val="1"/>
      <w:numFmt w:val="lowerRoman"/>
      <w:lvlText w:val="%3."/>
      <w:lvlJc w:val="right"/>
      <w:pPr>
        <w:ind w:left="1800" w:hanging="180"/>
      </w:pPr>
    </w:lvl>
    <w:lvl w:ilvl="3" w:tplc="7F94AD34" w:tentative="1">
      <w:start w:val="1"/>
      <w:numFmt w:val="decimal"/>
      <w:lvlText w:val="%4."/>
      <w:lvlJc w:val="left"/>
      <w:pPr>
        <w:ind w:left="2520" w:hanging="360"/>
      </w:pPr>
    </w:lvl>
    <w:lvl w:ilvl="4" w:tplc="4DFE85E6" w:tentative="1">
      <w:start w:val="1"/>
      <w:numFmt w:val="lowerLetter"/>
      <w:lvlText w:val="%5."/>
      <w:lvlJc w:val="left"/>
      <w:pPr>
        <w:ind w:left="3240" w:hanging="360"/>
      </w:pPr>
    </w:lvl>
    <w:lvl w:ilvl="5" w:tplc="47608D92" w:tentative="1">
      <w:start w:val="1"/>
      <w:numFmt w:val="lowerRoman"/>
      <w:lvlText w:val="%6."/>
      <w:lvlJc w:val="right"/>
      <w:pPr>
        <w:ind w:left="3960" w:hanging="180"/>
      </w:pPr>
    </w:lvl>
    <w:lvl w:ilvl="6" w:tplc="B8AE6934" w:tentative="1">
      <w:start w:val="1"/>
      <w:numFmt w:val="decimal"/>
      <w:lvlText w:val="%7."/>
      <w:lvlJc w:val="left"/>
      <w:pPr>
        <w:ind w:left="4680" w:hanging="360"/>
      </w:pPr>
    </w:lvl>
    <w:lvl w:ilvl="7" w:tplc="48B0FF1E" w:tentative="1">
      <w:start w:val="1"/>
      <w:numFmt w:val="lowerLetter"/>
      <w:lvlText w:val="%8."/>
      <w:lvlJc w:val="left"/>
      <w:pPr>
        <w:ind w:left="5400" w:hanging="360"/>
      </w:pPr>
    </w:lvl>
    <w:lvl w:ilvl="8" w:tplc="DE865D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9480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D29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06C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523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8CF0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444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CCF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444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84C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8B941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027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F209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E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D6B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084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EC7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1423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E88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B0CA6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7EF9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02AD0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624B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24F2D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45E6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46A102"/>
  <w15:docId w15:val="{9D53EC5E-8B50-4092-A7BF-B5AA18B2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spinion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rsyasona@fda.gov.p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TBT/PHL/20_1179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lastModifiedBy>Laverriere, Chantal</cp:lastModifiedBy>
  <cp:revision>67</cp:revision>
  <dcterms:created xsi:type="dcterms:W3CDTF">2017-07-03T10:42:00Z</dcterms:created>
  <dcterms:modified xsi:type="dcterms:W3CDTF">2020-02-13T13:59:00Z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49970977-7e61-4aa6-bc17-8e75a2f55ff2</vt:lpwstr>
  </property>
  <property fmtid="{D5CDD505-2E9C-101B-9397-08002B2CF9AE}" pid="4" name="WTOCLASSIFICATION">
    <vt:lpwstr>WTO OFFICIAL</vt:lpwstr>
  </property>
</Properties>
</file>